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A2" w:rsidRPr="00F92905" w:rsidRDefault="00CD5CA2" w:rsidP="00CD5CA2">
      <w:pPr>
        <w:pStyle w:val="Nagwek1"/>
        <w:ind w:left="567"/>
        <w:jc w:val="both"/>
        <w:rPr>
          <w:rFonts w:ascii="Calibri" w:hAnsi="Calibri" w:cs="Calibri"/>
        </w:rPr>
      </w:pPr>
      <w:bookmarkStart w:id="0" w:name="_Toc506455410"/>
      <w:r w:rsidRPr="00BF5CCB">
        <w:rPr>
          <w:rFonts w:ascii="Calibri" w:hAnsi="Calibri" w:cs="Calibri"/>
        </w:rPr>
        <w:t>Rozdział 3. Obszar zdegradowany gminy</w:t>
      </w:r>
      <w:bookmarkEnd w:id="0"/>
    </w:p>
    <w:p w:rsidR="00CD5CA2" w:rsidRPr="00F92905" w:rsidRDefault="00CD5CA2" w:rsidP="00CD5C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D5CA2" w:rsidRPr="00F92905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sz w:val="24"/>
          <w:szCs w:val="24"/>
        </w:rPr>
      </w:pPr>
      <w:r w:rsidRPr="00F92905">
        <w:rPr>
          <w:rFonts w:ascii="Calibri" w:hAnsi="Calibri" w:cs="Calibri"/>
          <w:b/>
          <w:sz w:val="24"/>
          <w:szCs w:val="24"/>
        </w:rPr>
        <w:t>Obszar zdegradowany</w:t>
      </w:r>
      <w:r w:rsidRPr="00F92905">
        <w:rPr>
          <w:rFonts w:ascii="Calibri" w:hAnsi="Calibri" w:cs="Calibri"/>
          <w:sz w:val="24"/>
          <w:szCs w:val="24"/>
        </w:rPr>
        <w:t xml:space="preserve"> to obszar, na którym zidentyfikowano stan kryzysowy. Obszar ten może być podzielony na podobszary, w tym podobszary nieposiadające ze sobą wspólnych granic pod warunkiem stwierdzenia stanu kryzysowego na każdym z podobszarów.</w:t>
      </w:r>
      <w:r w:rsidRPr="00F92905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F92905">
        <w:rPr>
          <w:rFonts w:ascii="Calibri" w:hAnsi="Calibri" w:cs="Calibri"/>
          <w:sz w:val="24"/>
          <w:szCs w:val="24"/>
        </w:rPr>
        <w:t xml:space="preserve"> </w:t>
      </w:r>
      <w:r w:rsidRPr="00F92905">
        <w:rPr>
          <w:rFonts w:ascii="Calibri" w:hAnsi="Calibri" w:cs="Calibri"/>
          <w:b/>
          <w:sz w:val="24"/>
          <w:szCs w:val="24"/>
        </w:rPr>
        <w:t>Stan kryzysowy</w:t>
      </w:r>
      <w:r w:rsidRPr="00F92905">
        <w:rPr>
          <w:rFonts w:ascii="Calibri" w:hAnsi="Calibri" w:cs="Calibri"/>
          <w:sz w:val="24"/>
          <w:szCs w:val="24"/>
        </w:rPr>
        <w:t xml:space="preserve"> to natomiast stan spowodowany koncentracją negatywnych zjawisk społecznych (w szczególności bezrobocia, ubóstwa, przestępczości, niskiego poziomu edukacji lub kapitału społecznego, niewystarczającego poziomu uczestnictwa w życiu publicznym i kulturalnym) współwystępujących z negatywnymi zjawiskami w co najmniej jednej z następujących sfer: gospodarczej (w szczególności w zakresie niskiego stopnia przedsiębiorczości, słabej kondycji lokalnych przedsiębiorstw); środowiskowej (w szczególności w zakresie przekroczenia standardów jakości środowiska, obecności odpadów stwarzających zagrożenie dla życia, zdrowia, ludzi bądź stanu środowiska); przestrzenno-funkcjonalnej (w szczególności </w:t>
      </w:r>
      <w:r>
        <w:rPr>
          <w:rFonts w:ascii="Calibri" w:hAnsi="Calibri" w:cs="Calibri"/>
          <w:sz w:val="24"/>
          <w:szCs w:val="24"/>
        </w:rPr>
        <w:br/>
      </w:r>
      <w:r w:rsidRPr="00F92905">
        <w:rPr>
          <w:rFonts w:ascii="Calibri" w:hAnsi="Calibri" w:cs="Calibri"/>
          <w:sz w:val="24"/>
          <w:szCs w:val="24"/>
        </w:rPr>
        <w:t>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</w:t>
      </w:r>
      <w:r>
        <w:rPr>
          <w:rFonts w:ascii="Calibri" w:hAnsi="Calibri" w:cs="Calibri"/>
          <w:sz w:val="24"/>
          <w:szCs w:val="24"/>
        </w:rPr>
        <w:t>, występowaniu przestrzeni zdegradowanej</w:t>
      </w:r>
      <w:r w:rsidRPr="00F92905">
        <w:rPr>
          <w:rFonts w:ascii="Calibri" w:hAnsi="Calibri" w:cs="Calibri"/>
          <w:sz w:val="24"/>
          <w:szCs w:val="24"/>
        </w:rPr>
        <w:t>); technicznej (w szczególności w zakresie degradacji stanu technicznego obiektów budowlanych, w szczególności w zakresie energooszczędności i ochrony środowiska).</w:t>
      </w:r>
      <w:r w:rsidRPr="00F92905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:rsidR="00CD5CA2" w:rsidRDefault="00CD5CA2" w:rsidP="00CD5CA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  <w:r w:rsidRPr="00F92905">
        <w:rPr>
          <w:rFonts w:ascii="Calibri" w:hAnsi="Calibri" w:cs="Calibri"/>
          <w:sz w:val="24"/>
          <w:szCs w:val="24"/>
        </w:rPr>
        <w:t xml:space="preserve">Skalę negatywnych zjawisk odzwierciedlają </w:t>
      </w:r>
      <w:r w:rsidRPr="00F92905">
        <w:rPr>
          <w:rFonts w:ascii="Calibri" w:hAnsi="Calibri" w:cs="Calibri"/>
          <w:b/>
          <w:sz w:val="24"/>
          <w:szCs w:val="24"/>
        </w:rPr>
        <w:t>mierniki rozwoju</w:t>
      </w:r>
      <w:r w:rsidRPr="00F92905">
        <w:rPr>
          <w:rFonts w:ascii="Calibri" w:hAnsi="Calibri" w:cs="Calibri"/>
          <w:sz w:val="24"/>
          <w:szCs w:val="24"/>
        </w:rPr>
        <w:t xml:space="preserve"> opisujące powyższe sfery, które wskazują na niski poziom rozwoju lub dokumentują silną dynamikę spadku poziomu rozwoju w odniesieniu do wartości całej gminy.</w:t>
      </w:r>
    </w:p>
    <w:p w:rsidR="00CD5CA2" w:rsidRPr="006F7EE6" w:rsidRDefault="00CD5CA2" w:rsidP="00CD5CA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4"/>
          <w:szCs w:val="24"/>
        </w:rPr>
      </w:pPr>
      <w:r w:rsidRPr="006F7EE6">
        <w:rPr>
          <w:rFonts w:ascii="Calibri" w:hAnsi="Calibri" w:cs="Calibri"/>
          <w:b/>
          <w:sz w:val="24"/>
          <w:szCs w:val="24"/>
        </w:rPr>
        <w:t>Szczegółowy proces delimitacji obszaru zdegradowanego.</w:t>
      </w:r>
    </w:p>
    <w:p w:rsidR="00CD5CA2" w:rsidRDefault="00CD5CA2" w:rsidP="0026737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wszystkich miejscowości</w:t>
      </w:r>
      <w:r w:rsidRPr="006F7EE6">
        <w:rPr>
          <w:rFonts w:ascii="Calibri" w:hAnsi="Calibri" w:cs="Calibri"/>
          <w:sz w:val="24"/>
          <w:szCs w:val="24"/>
        </w:rPr>
        <w:t xml:space="preserve"> Gminy </w:t>
      </w:r>
      <w:r>
        <w:rPr>
          <w:rFonts w:ascii="Calibri" w:hAnsi="Calibri" w:cs="Calibri"/>
          <w:sz w:val="24"/>
          <w:szCs w:val="24"/>
        </w:rPr>
        <w:t>przeprowadzono diagnozę, mającą na celu identyfikację występowania stanu kryzysowego. W poniższej tabeli przedstawiono analizowane miejscowości gminy Aleksandrów Kujawski</w:t>
      </w:r>
      <w:r w:rsidRPr="006F7EE6">
        <w:rPr>
          <w:rFonts w:ascii="Calibri" w:hAnsi="Calibri" w:cs="Calibri"/>
          <w:sz w:val="24"/>
          <w:szCs w:val="24"/>
        </w:rPr>
        <w:t>:</w:t>
      </w:r>
    </w:p>
    <w:p w:rsidR="00CD5CA2" w:rsidRDefault="00CD5CA2" w:rsidP="00CD5CA2">
      <w:pPr>
        <w:pStyle w:val="Legenda"/>
        <w:keepNext/>
      </w:pPr>
      <w:bookmarkStart w:id="1" w:name="_Toc506455194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t>: Miejscowości gminy Aleksandrów Kujawski</w:t>
      </w:r>
      <w:bookmarkEnd w:id="1"/>
    </w:p>
    <w:tbl>
      <w:tblPr>
        <w:tblStyle w:val="Siatkatabelijasna"/>
        <w:tblW w:w="9043" w:type="dxa"/>
        <w:jc w:val="center"/>
        <w:tblLook w:val="04A0" w:firstRow="1" w:lastRow="0" w:firstColumn="1" w:lastColumn="0" w:noHBand="0" w:noVBand="1"/>
      </w:tblPr>
      <w:tblGrid>
        <w:gridCol w:w="2365"/>
        <w:gridCol w:w="1919"/>
        <w:gridCol w:w="2617"/>
        <w:gridCol w:w="2142"/>
      </w:tblGrid>
      <w:tr w:rsidR="00CD5CA2" w:rsidTr="00F11BD7">
        <w:trPr>
          <w:jc w:val="center"/>
        </w:trPr>
        <w:tc>
          <w:tcPr>
            <w:tcW w:w="2365" w:type="dxa"/>
          </w:tcPr>
          <w:p w:rsidR="00CD5CA2" w:rsidRPr="00C47BA7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1 - </w:t>
            </w:r>
            <w:r w:rsidRPr="00C47BA7">
              <w:rPr>
                <w:rFonts w:ascii="Calibri" w:hAnsi="Calibri" w:cs="Calibri"/>
                <w:sz w:val="24"/>
                <w:szCs w:val="24"/>
              </w:rPr>
              <w:t>Białe Błota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11 - Odolion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21 - Poczałkowo Kolonia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31 - Służewo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Otłoczynek</w:t>
            </w:r>
            <w:proofErr w:type="spellEnd"/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12 - Opoczki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22 - Podgaj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32 - Broniszewo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3 - Chrusty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13 - Opoki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23 - Przybranowo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33 - Służewo - Pole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4 - Stare Rożno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14 - Ostrowąs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24 - Przybranówek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34 - Stawki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5 - Goszczewo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15 - Ośno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25 - Rożno - Parcele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35 - Konradowo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6 - Grabie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16 - Ośno Drugie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26 - Rudunki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36 - Zgoda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7 - Łazieniec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17 - Otłoczyn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27 - Nowa Wieś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37 - Wilkostowo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8 -Nowy Ciechocinek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18 - Plebanka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28 - Stara Wieś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38 - Wołuszewo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9 - Kuczek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19 - Poczałkowo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29 - Słomkowo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39 - Wólka</w:t>
            </w:r>
          </w:p>
        </w:tc>
      </w:tr>
      <w:tr w:rsidR="00CD5CA2" w:rsidTr="00F11BD7">
        <w:trPr>
          <w:jc w:val="center"/>
        </w:trPr>
        <w:tc>
          <w:tcPr>
            <w:tcW w:w="2365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10 - Wygoda</w:t>
            </w:r>
          </w:p>
        </w:tc>
        <w:tc>
          <w:tcPr>
            <w:tcW w:w="1919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20 - Pinino</w:t>
            </w:r>
          </w:p>
        </w:tc>
        <w:tc>
          <w:tcPr>
            <w:tcW w:w="2617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30 - Słońsk Dolny</w:t>
            </w:r>
          </w:p>
        </w:tc>
        <w:tc>
          <w:tcPr>
            <w:tcW w:w="2142" w:type="dxa"/>
          </w:tcPr>
          <w:p w:rsidR="00CD5CA2" w:rsidRDefault="00CD5CA2" w:rsidP="00F11BD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40 - Zduny</w:t>
            </w:r>
          </w:p>
        </w:tc>
      </w:tr>
    </w:tbl>
    <w:p w:rsidR="00CD5CA2" w:rsidRPr="00EA235C" w:rsidRDefault="00CD5CA2" w:rsidP="00CD5CA2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C47BA7">
        <w:rPr>
          <w:rFonts w:ascii="Calibri" w:hAnsi="Calibri" w:cs="Calibri"/>
          <w:i/>
          <w:iCs/>
          <w:sz w:val="20"/>
          <w:szCs w:val="20"/>
        </w:rPr>
        <w:t>Źródło: opracowanie własne</w:t>
      </w:r>
    </w:p>
    <w:p w:rsidR="00CD5CA2" w:rsidRDefault="00CD5CA2" w:rsidP="0026737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Każda z wyżej wymienionych miejscowości została</w:t>
      </w:r>
      <w:r w:rsidRPr="00EA235C">
        <w:rPr>
          <w:rFonts w:ascii="Calibri" w:hAnsi="Calibri" w:cs="Calibri"/>
          <w:sz w:val="24"/>
          <w:szCs w:val="24"/>
        </w:rPr>
        <w:t xml:space="preserve"> poddan</w:t>
      </w:r>
      <w:r>
        <w:rPr>
          <w:rFonts w:ascii="Calibri" w:hAnsi="Calibri" w:cs="Calibri"/>
          <w:sz w:val="24"/>
          <w:szCs w:val="24"/>
        </w:rPr>
        <w:t>a</w:t>
      </w:r>
      <w:r w:rsidRPr="00EA235C">
        <w:rPr>
          <w:rFonts w:ascii="Calibri" w:hAnsi="Calibri" w:cs="Calibri"/>
          <w:sz w:val="24"/>
          <w:szCs w:val="24"/>
        </w:rPr>
        <w:t xml:space="preserve"> dogłębnej diagnozie na podstawie indywidualnie wybranych wskaźników społecznych wyznaczonych przez Urząd Marszałkowski Województwa Kujawsko-Pomorskiego w Toruniu, wyniki tej analizy zostały przedstawione </w:t>
      </w:r>
      <w:r>
        <w:rPr>
          <w:rFonts w:ascii="Calibri" w:hAnsi="Calibri" w:cs="Calibri"/>
          <w:sz w:val="24"/>
          <w:szCs w:val="24"/>
        </w:rPr>
        <w:t>w poniższej tabeli.</w:t>
      </w:r>
      <w:r w:rsidRPr="00EA235C">
        <w:rPr>
          <w:rFonts w:ascii="Calibri" w:hAnsi="Calibri" w:cs="Calibri"/>
          <w:sz w:val="24"/>
          <w:szCs w:val="24"/>
        </w:rPr>
        <w:t xml:space="preserve"> </w:t>
      </w:r>
    </w:p>
    <w:p w:rsidR="00CD5CA2" w:rsidRDefault="00CD5CA2" w:rsidP="00CD5CA2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4"/>
          <w:szCs w:val="24"/>
        </w:rPr>
        <w:sectPr w:rsidR="00CD5CA2" w:rsidSect="0086393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D5CA2" w:rsidRDefault="00CD5CA2" w:rsidP="00CD5CA2">
      <w:pPr>
        <w:pStyle w:val="Legenda"/>
        <w:keepNext/>
      </w:pPr>
      <w:bookmarkStart w:id="2" w:name="_Toc506455195"/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t>: Analiza wybranych wskaźników społecznych (stan na dzień 08.03.2016 r.)</w:t>
      </w:r>
      <w:bookmarkEnd w:id="2"/>
    </w:p>
    <w:p w:rsidR="00CD5CA2" w:rsidRDefault="00CD5CA2" w:rsidP="00CD5CA2">
      <w:pPr>
        <w:autoSpaceDE w:val="0"/>
        <w:autoSpaceDN w:val="0"/>
        <w:adjustRightInd w:val="0"/>
        <w:ind w:left="357"/>
        <w:jc w:val="right"/>
        <w:rPr>
          <w:rFonts w:ascii="Calibri" w:hAnsi="Calibri" w:cs="Calibri"/>
          <w:i/>
          <w:i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1643"/>
        <w:gridCol w:w="2555"/>
        <w:gridCol w:w="1948"/>
        <w:gridCol w:w="1948"/>
        <w:gridCol w:w="1948"/>
        <w:gridCol w:w="1945"/>
      </w:tblGrid>
      <w:tr w:rsidR="00CD5CA2" w:rsidRPr="00607467" w:rsidTr="00F11BD7">
        <w:trPr>
          <w:trHeight w:val="1230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Wyszczególnienie 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Udział osób w gospodarstwach domowych korzystających ze środowiskowej pomocy społecznej w ludności ogółem na danym obszarze  (wskaźnik charakteryzujący samowystarczalność ekonomiczną ludności i gospodarstw domowych) (%)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Udział dzieci do lat 17, na które rodzice otrzymują zasiłek rodzinny w ogólnej liczbie dzieci w tym wieku na danym obszarze (wskaźnik charakteryzujący samowystarczalność ekonomiczną ludności i gospodarstw domowych) (%)</w:t>
            </w:r>
          </w:p>
        </w:tc>
      </w:tr>
      <w:tr w:rsidR="00CD5CA2" w:rsidRPr="00607467" w:rsidTr="00F11BD7">
        <w:trPr>
          <w:trHeight w:val="1500"/>
        </w:trPr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Liczba Ludności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Liczba osób w gospodarstwach domowych korzystających ze środowiskowej pomocy społecznej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Wartość wskaźnika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Liczba dzieci do lat 17 na  danym obszarze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Liczba dzieci do lat 17, na które rodzice otrzymują zasiłek rodzinny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Wartość wskaźnika 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Białe Błota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33,33%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66,67%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Otłoczynek</w:t>
            </w:r>
            <w:proofErr w:type="spellEnd"/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57,14%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75,00%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Chrusty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bd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62,50%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Stare Rożno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6,94%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42,86%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Goszczewo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133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32,33%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58,06%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Grabie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317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7,26%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75,00%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Łazieniec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743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5,38%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85,59%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Nowy Ciechocinek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350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8,29%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71,43%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Kuczek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138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18,12%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96,67%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Wygoda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21,31%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53,33%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Odolion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2,83%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51,45%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Opoczki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166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58,43%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100,00%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Opoki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264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9,09%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61,82%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Ostrowąs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432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9,26%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91,46%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Ośno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488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11,68%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77,36%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Ośno Drugie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5,43%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52,94%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Otłoczyn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467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6,85%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86,11%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lastRenderedPageBreak/>
              <w:t>Plebanka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251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11,95%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92,31%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Poczałkowo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37,29%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82,61%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Pinino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56,25%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72,73%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Poczałkowo Kolonia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21,21%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75,00%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Podgaj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210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33,81%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95,00%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Przybranowo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636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11,01%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136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86,03%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Przybranówek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149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14,09%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83,33%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Stara Wieś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19,05%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41,67%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Słomkowo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316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16,46%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70,69%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Słońsk Dolny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294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5,10%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78,43%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Służewo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1213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177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14,59%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216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185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85,65%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Służewo - Pole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22,12%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72,00%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Stawki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739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3,79%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62,18%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Konradowo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151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13,25%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78,38%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Zgoda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16,57%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46,88%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Wilkostowo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215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20,47%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73,68%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Wołuszewo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769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6,63%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83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69,75%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Wólka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194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11,86%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68,97%</w:t>
            </w:r>
          </w:p>
        </w:tc>
      </w:tr>
      <w:tr w:rsidR="00CD5CA2" w:rsidRPr="00607467" w:rsidTr="00F11BD7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Zduny</w:t>
            </w:r>
          </w:p>
        </w:tc>
        <w:tc>
          <w:tcPr>
            <w:tcW w:w="587" w:type="pct"/>
            <w:tcBorders>
              <w:top w:val="single" w:sz="4" w:space="0" w:color="5B9BD5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132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19,70%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72,00%</w:t>
            </w:r>
          </w:p>
        </w:tc>
      </w:tr>
      <w:tr w:rsidR="00CD5CA2" w:rsidRPr="00607467" w:rsidTr="00F11BD7">
        <w:trPr>
          <w:trHeight w:val="555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Gmina Aleksandrów Kujawski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12492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1421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11,38%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2384,00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1794,00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75,25%</w:t>
            </w:r>
          </w:p>
        </w:tc>
      </w:tr>
    </w:tbl>
    <w:p w:rsidR="00CD5CA2" w:rsidRDefault="00CD5CA2" w:rsidP="00CD5CA2">
      <w:pPr>
        <w:autoSpaceDE w:val="0"/>
        <w:autoSpaceDN w:val="0"/>
        <w:adjustRightInd w:val="0"/>
        <w:ind w:left="357"/>
        <w:rPr>
          <w:rFonts w:ascii="Calibri" w:hAnsi="Calibri" w:cs="Calibri"/>
          <w:i/>
          <w:i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819"/>
        <w:gridCol w:w="1819"/>
        <w:gridCol w:w="1254"/>
        <w:gridCol w:w="2482"/>
        <w:gridCol w:w="2457"/>
        <w:gridCol w:w="1822"/>
      </w:tblGrid>
      <w:tr w:rsidR="00CD5CA2" w:rsidRPr="00607467" w:rsidTr="00F11BD7">
        <w:trPr>
          <w:trHeight w:val="123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Wyszczególnienie </w:t>
            </w:r>
          </w:p>
        </w:tc>
        <w:tc>
          <w:tcPr>
            <w:tcW w:w="17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Stosunek ludności w wieku  poprodukcyjnym względem ludności w wieku produkcyjnym na danym obszarze (%)</w:t>
            </w:r>
          </w:p>
        </w:tc>
        <w:tc>
          <w:tcPr>
            <w:tcW w:w="2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Miejscowość należy do rejonu obsługi szkoły podstawowej  o niskim poziomie kształcenia (wg kryterium szczegółowego) </w:t>
            </w:r>
          </w:p>
        </w:tc>
      </w:tr>
      <w:tr w:rsidR="00CD5CA2" w:rsidRPr="00607467" w:rsidTr="00F11BD7">
        <w:trPr>
          <w:trHeight w:val="1500"/>
        </w:trPr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Liczba osób w wieku poprodukcyjnym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Liczba osób w wieku produkcyjnym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Wartość wskaźnika 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Średnie wyniki osiągane przez uczniów w danym obwodzie szkolnym 2014|2015|2016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Średnie wyniki osiągane w województwie  2014|2015|2016|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Wartość wskaźnika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Białe Błota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21,74%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Otłoczynek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28,57%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  <w:proofErr w:type="spellEnd"/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Chrusty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30,43%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Stare Rożno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45,00%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Goszczewo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48,48%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Grabie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25,48%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58%|64%|26,38%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Łazieniec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27,78%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Nowy Ciechocinek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25,00%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Kuczek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35,82%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Wygoda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18,42%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Odolion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25,74%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Opoczki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30,68%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58%|64%|26,38%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Opoki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31,08%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58%|64%|26,38%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Ostrowąs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29,53%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55%|61%|27,70%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Ośno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28,89%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Ośno Drugie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34,45%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55%|61%|27,70%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Otłoczyn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35,14%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Plebanka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467">
              <w:rPr>
                <w:rFonts w:ascii="Calibri" w:eastAsia="Times New Roman" w:hAnsi="Calibri" w:cs="Calibri"/>
                <w:sz w:val="16"/>
                <w:szCs w:val="16"/>
              </w:rPr>
              <w:t>143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30,77%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55%|61%|27,70%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Poczałkowo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29,85%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Pinino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16,67%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Poczałkowo Kolonia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39,22%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Podgaj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35,34%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Przybranowo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33,24%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Przybranówek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39,51%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lastRenderedPageBreak/>
              <w:t>Stara Wieś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23,08%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Słomkowo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28,19%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Słońsk Dolny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49,63%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Służewo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245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655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37,40%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Służewo - Pole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17,46%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Stawki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22,90%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55%|50%|23,41%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Konradowo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21,59%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Zgoda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28,00%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56%|59%|23,94%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Wilkostowo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31,78%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58%|64%|26,38%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Wołuszewo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177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424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41,75%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70%|72%|27,70%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Nie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Wólka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07467">
              <w:rPr>
                <w:rFonts w:ascii="Calibri Light" w:eastAsia="Times New Roman" w:hAnsi="Calibri Light" w:cs="Calibri Light"/>
                <w:sz w:val="16"/>
                <w:szCs w:val="16"/>
              </w:rPr>
              <w:t>113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31,86%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49%|59%|22,69%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Zduny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467"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45,59%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58%|64%|26,38%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sz w:val="18"/>
                <w:szCs w:val="18"/>
              </w:rPr>
              <w:t>60%|64%|24,43%|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 xml:space="preserve">Tak </w:t>
            </w:r>
          </w:p>
        </w:tc>
      </w:tr>
      <w:tr w:rsidR="00CD5CA2" w:rsidRPr="00607467" w:rsidTr="00F11BD7">
        <w:trPr>
          <w:trHeight w:val="555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Gmina Aleksandrów Kujawski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2089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6923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</w:rPr>
              <w:t>30,17%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N/D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CA2" w:rsidRPr="00607467" w:rsidRDefault="00CD5CA2" w:rsidP="00F11BD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0746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N/D</w:t>
            </w:r>
          </w:p>
        </w:tc>
      </w:tr>
    </w:tbl>
    <w:p w:rsidR="00CD5CA2" w:rsidRDefault="00CD5CA2" w:rsidP="00CD5CA2">
      <w:pPr>
        <w:autoSpaceDE w:val="0"/>
        <w:autoSpaceDN w:val="0"/>
        <w:adjustRightInd w:val="0"/>
        <w:ind w:left="357"/>
        <w:rPr>
          <w:rFonts w:ascii="Calibri" w:hAnsi="Calibri" w:cs="Calibri"/>
          <w:i/>
          <w:iCs/>
          <w:sz w:val="20"/>
          <w:szCs w:val="20"/>
        </w:rPr>
      </w:pPr>
    </w:p>
    <w:p w:rsidR="00CD5CA2" w:rsidRDefault="00CD5CA2" w:rsidP="00CD5CA2">
      <w:pPr>
        <w:autoSpaceDE w:val="0"/>
        <w:autoSpaceDN w:val="0"/>
        <w:adjustRightInd w:val="0"/>
        <w:ind w:left="357"/>
        <w:jc w:val="right"/>
        <w:rPr>
          <w:rFonts w:ascii="Calibri" w:hAnsi="Calibri" w:cs="Calibri"/>
          <w:i/>
          <w:iCs/>
          <w:sz w:val="20"/>
          <w:szCs w:val="20"/>
        </w:rPr>
        <w:sectPr w:rsidR="00CD5CA2" w:rsidSect="00953DD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C47BA7">
        <w:rPr>
          <w:rFonts w:ascii="Calibri" w:hAnsi="Calibri" w:cs="Calibri"/>
          <w:i/>
          <w:iCs/>
          <w:sz w:val="20"/>
          <w:szCs w:val="20"/>
        </w:rPr>
        <w:t>Źródło: opracowanie własne</w:t>
      </w:r>
      <w:r>
        <w:rPr>
          <w:rFonts w:ascii="Calibri" w:hAnsi="Calibri" w:cs="Calibri"/>
          <w:i/>
          <w:iCs/>
          <w:sz w:val="20"/>
          <w:szCs w:val="20"/>
        </w:rPr>
        <w:t xml:space="preserve"> na podstawie danych Urzędu Gminy</w:t>
      </w:r>
    </w:p>
    <w:p w:rsidR="00CD5CA2" w:rsidRPr="00B1217D" w:rsidRDefault="00CD5CA2" w:rsidP="00CD5CA2">
      <w:pPr>
        <w:autoSpaceDE w:val="0"/>
        <w:autoSpaceDN w:val="0"/>
        <w:adjustRightInd w:val="0"/>
        <w:ind w:left="357"/>
        <w:jc w:val="right"/>
        <w:rPr>
          <w:rFonts w:ascii="Calibri" w:hAnsi="Calibri" w:cs="Calibri"/>
          <w:sz w:val="24"/>
          <w:szCs w:val="24"/>
        </w:rPr>
      </w:pPr>
    </w:p>
    <w:p w:rsidR="00CD5CA2" w:rsidRDefault="00CD5CA2" w:rsidP="00CD5CA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7034C">
        <w:rPr>
          <w:rFonts w:ascii="Calibri" w:hAnsi="Calibri" w:cs="Calibri"/>
          <w:sz w:val="24"/>
          <w:szCs w:val="24"/>
        </w:rPr>
        <w:t>W wyniku analizy wybranych wskaźników społecznych stwierdzono, ż</w:t>
      </w:r>
      <w:r>
        <w:rPr>
          <w:rFonts w:ascii="Calibri" w:hAnsi="Calibri" w:cs="Calibri"/>
          <w:sz w:val="24"/>
          <w:szCs w:val="24"/>
        </w:rPr>
        <w:t xml:space="preserve">e na terenie następujących miejscowości </w:t>
      </w:r>
      <w:bookmarkStart w:id="3" w:name="_Hlk514666490"/>
      <w:r>
        <w:rPr>
          <w:rFonts w:ascii="Calibri" w:hAnsi="Calibri" w:cs="Calibri"/>
          <w:b/>
          <w:sz w:val="24"/>
          <w:szCs w:val="24"/>
        </w:rPr>
        <w:t xml:space="preserve">Białe </w:t>
      </w:r>
      <w:proofErr w:type="spellStart"/>
      <w:r>
        <w:rPr>
          <w:rFonts w:ascii="Calibri" w:hAnsi="Calibri" w:cs="Calibri"/>
          <w:b/>
          <w:sz w:val="24"/>
          <w:szCs w:val="24"/>
        </w:rPr>
        <w:t>Błota,Chrusty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, Stare Rożno, Goszczewo, Łazieniec, Kuczek, Opoczki, Opoki, Ostrowąs, Ośno, Ośno Drugie, Otłoczyn, Plebanka, Poczałkowo, Pinino, Poczałkowo Kolonia, Podgaj, Przybranowo, Przybranówek, Stara Wieś, Słomkowo, Słońsk Dolny, Służewo, Służewo Pole, Konradowo, Zgoda, </w:t>
      </w:r>
      <w:proofErr w:type="spellStart"/>
      <w:r>
        <w:rPr>
          <w:rFonts w:ascii="Calibri" w:hAnsi="Calibri" w:cs="Calibri"/>
          <w:b/>
          <w:sz w:val="24"/>
          <w:szCs w:val="24"/>
        </w:rPr>
        <w:t>Wilkostowo,Wólka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i Zduny</w:t>
      </w:r>
      <w:r>
        <w:rPr>
          <w:rFonts w:ascii="Calibri" w:hAnsi="Calibri" w:cs="Calibri"/>
          <w:sz w:val="24"/>
          <w:szCs w:val="24"/>
        </w:rPr>
        <w:t xml:space="preserve"> </w:t>
      </w:r>
      <w:bookmarkEnd w:id="3"/>
      <w:r>
        <w:rPr>
          <w:rFonts w:ascii="Calibri" w:hAnsi="Calibri" w:cs="Calibri"/>
          <w:sz w:val="24"/>
          <w:szCs w:val="24"/>
        </w:rPr>
        <w:t>identyfikuje się co najmniej 2 problemy społeczne mierzone wskaźnikami spośród tych, które określone zostały na liście wskaźników stanu kryzysowego na obszarach wiejskich. Jednocześnie wskaźniki te przyjmują w wyżej wymienionych miejscowościach wartości mniej korzystne od średniej ich wartości dla gminy.</w:t>
      </w:r>
    </w:p>
    <w:p w:rsidR="00CD5CA2" w:rsidRPr="001907F7" w:rsidRDefault="00CD5CA2" w:rsidP="0026737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EA235C">
        <w:rPr>
          <w:rFonts w:ascii="Calibri" w:hAnsi="Calibri" w:cs="Calibri"/>
          <w:sz w:val="24"/>
          <w:szCs w:val="24"/>
        </w:rPr>
        <w:t>a podstawie indywidualnie wybranych wskaźników</w:t>
      </w:r>
      <w:r>
        <w:rPr>
          <w:rFonts w:ascii="Calibri" w:hAnsi="Calibri" w:cs="Calibri"/>
          <w:sz w:val="24"/>
          <w:szCs w:val="24"/>
        </w:rPr>
        <w:t>,</w:t>
      </w:r>
      <w:r w:rsidRPr="00EA23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reprezentujących negatywne zjawisko (pozwalające na zidentyfikowanie stanu kryzysowego), wyżej wymienione</w:t>
      </w:r>
      <w:r w:rsidRPr="00151C8B">
        <w:rPr>
          <w:rFonts w:ascii="Calibri" w:hAnsi="Calibri" w:cs="Calibri"/>
          <w:sz w:val="24"/>
          <w:szCs w:val="24"/>
        </w:rPr>
        <w:t xml:space="preserve"> miejscowości został</w:t>
      </w:r>
      <w:r>
        <w:rPr>
          <w:rFonts w:ascii="Calibri" w:hAnsi="Calibri" w:cs="Calibri"/>
          <w:sz w:val="24"/>
          <w:szCs w:val="24"/>
        </w:rPr>
        <w:t>y</w:t>
      </w:r>
      <w:r w:rsidRPr="00151C8B">
        <w:rPr>
          <w:rFonts w:ascii="Calibri" w:hAnsi="Calibri" w:cs="Calibri"/>
          <w:sz w:val="24"/>
          <w:szCs w:val="24"/>
        </w:rPr>
        <w:t xml:space="preserve"> poddan</w:t>
      </w:r>
      <w:r>
        <w:rPr>
          <w:rFonts w:ascii="Calibri" w:hAnsi="Calibri" w:cs="Calibri"/>
          <w:sz w:val="24"/>
          <w:szCs w:val="24"/>
        </w:rPr>
        <w:t>e</w:t>
      </w:r>
      <w:r w:rsidRPr="00151C8B">
        <w:rPr>
          <w:rFonts w:ascii="Calibri" w:hAnsi="Calibri" w:cs="Calibri"/>
          <w:sz w:val="24"/>
          <w:szCs w:val="24"/>
        </w:rPr>
        <w:t xml:space="preserve"> dalszej </w:t>
      </w:r>
      <w:r>
        <w:rPr>
          <w:rFonts w:ascii="Calibri" w:hAnsi="Calibri" w:cs="Calibri"/>
          <w:sz w:val="24"/>
          <w:szCs w:val="24"/>
        </w:rPr>
        <w:t>diagnozie.</w:t>
      </w:r>
    </w:p>
    <w:p w:rsidR="00CD5CA2" w:rsidRPr="001907F7" w:rsidRDefault="00CD5CA2" w:rsidP="00CD5CA2">
      <w:pPr>
        <w:ind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poniższych tabelach dokonana została analiza</w:t>
      </w:r>
      <w:r w:rsidRPr="001907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wskaźnika przestrzenno-funkcjonalnego</w:t>
      </w:r>
      <w:r w:rsidRPr="001907F7">
        <w:rPr>
          <w:rFonts w:ascii="Calibri" w:hAnsi="Calibri" w:cs="Calibri"/>
          <w:sz w:val="24"/>
          <w:szCs w:val="24"/>
        </w:rPr>
        <w:t>. Celem analiz</w:t>
      </w:r>
      <w:r>
        <w:rPr>
          <w:rFonts w:ascii="Calibri" w:hAnsi="Calibri" w:cs="Calibri"/>
          <w:sz w:val="24"/>
          <w:szCs w:val="24"/>
        </w:rPr>
        <w:t>y</w:t>
      </w:r>
      <w:r w:rsidRPr="001907F7">
        <w:rPr>
          <w:rFonts w:ascii="Calibri" w:hAnsi="Calibri" w:cs="Calibri"/>
          <w:sz w:val="24"/>
          <w:szCs w:val="24"/>
        </w:rPr>
        <w:t xml:space="preserve"> było wyznaczenie </w:t>
      </w:r>
      <w:r>
        <w:rPr>
          <w:rFonts w:ascii="Calibri" w:hAnsi="Calibri" w:cs="Calibri"/>
          <w:sz w:val="24"/>
          <w:szCs w:val="24"/>
        </w:rPr>
        <w:t xml:space="preserve">miejscowości, w których występuje przestrzeń zdegradowana oraz problemy ze sfery </w:t>
      </w:r>
      <w:proofErr w:type="spellStart"/>
      <w:r>
        <w:rPr>
          <w:rFonts w:ascii="Calibri" w:hAnsi="Calibri" w:cs="Calibri"/>
          <w:sz w:val="24"/>
          <w:szCs w:val="24"/>
        </w:rPr>
        <w:t>przestrzenno</w:t>
      </w:r>
      <w:proofErr w:type="spellEnd"/>
      <w:r>
        <w:rPr>
          <w:rFonts w:ascii="Calibri" w:hAnsi="Calibri" w:cs="Calibri"/>
          <w:sz w:val="24"/>
          <w:szCs w:val="24"/>
        </w:rPr>
        <w:t xml:space="preserve"> – funkcjonalnej</w:t>
      </w:r>
      <w:r w:rsidRPr="001907F7">
        <w:rPr>
          <w:rFonts w:ascii="Calibri" w:hAnsi="Calibri" w:cs="Calibri"/>
          <w:sz w:val="24"/>
          <w:szCs w:val="24"/>
        </w:rPr>
        <w:t xml:space="preserve">. </w:t>
      </w:r>
    </w:p>
    <w:p w:rsidR="00CD5CA2" w:rsidRDefault="00CD5CA2" w:rsidP="00CD5CA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  <w:sectPr w:rsidR="00CD5CA2" w:rsidSect="009E1D5F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D5CA2" w:rsidRPr="008D1DA6" w:rsidRDefault="00CD5CA2" w:rsidP="00CD5CA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D5CA2" w:rsidRDefault="00CD5CA2" w:rsidP="00CD5CA2">
      <w:pPr>
        <w:pStyle w:val="Legenda"/>
        <w:keepNext/>
      </w:pPr>
      <w:bookmarkStart w:id="4" w:name="_Toc506455196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>
        <w:t xml:space="preserve">: Analiza występowania przestrzeni zdegradowanej oraz problemów ze sfery </w:t>
      </w:r>
      <w:proofErr w:type="spellStart"/>
      <w:r>
        <w:t>przestrzenno</w:t>
      </w:r>
      <w:proofErr w:type="spellEnd"/>
      <w:r>
        <w:t xml:space="preserve"> – funkcjonalnej (stan na koniec 2016r.)</w:t>
      </w:r>
      <w:bookmarkEnd w:id="4"/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5222"/>
        <w:gridCol w:w="8770"/>
      </w:tblGrid>
      <w:tr w:rsidR="00CD5CA2" w:rsidRPr="0087126B" w:rsidTr="00F1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Miejscowość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Występowanie przestrzeni zdegradowanej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Białe Błota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Chrusty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Stare Rożno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Goszczewo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4C199E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Łazieniec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Kuczek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Opoczki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Opoki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4C199E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Ostrowąs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NIe</w:t>
            </w:r>
            <w:proofErr w:type="spellEnd"/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Ośno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Ośno Drugie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Otłoczyn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Plebanka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TAK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Poczałkowo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Pinino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Poczałkowo Kolonia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Podgaj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Przybranowo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Przybranówek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Stara Wieś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Słomkowo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C199E">
              <w:rPr>
                <w:rFonts w:ascii="Calibri Light" w:hAnsi="Calibri Light" w:cs="Calibri Light"/>
                <w:color w:val="000000"/>
                <w:sz w:val="18"/>
                <w:szCs w:val="18"/>
              </w:rPr>
              <w:t>Słońsk Dolny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Służewo - Pole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Konradowo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Zgoda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Wilkostowo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Wólka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Nie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 w:val="0"/>
                <w:color w:val="00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Zduny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TAK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sz w:val="18"/>
                <w:szCs w:val="18"/>
              </w:rPr>
              <w:t>Miejscowość</w:t>
            </w:r>
          </w:p>
        </w:tc>
        <w:tc>
          <w:tcPr>
            <w:tcW w:w="3134" w:type="pct"/>
            <w:shd w:val="clear" w:color="auto" w:fill="auto"/>
          </w:tcPr>
          <w:p w:rsidR="00CD5CA2" w:rsidRPr="00426B2A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F11BD7">
              <w:rPr>
                <w:rFonts w:ascii="Tahoma" w:eastAsiaTheme="majorEastAsia" w:hAnsi="Tahoma" w:cs="Tahoma"/>
                <w:b/>
                <w:iCs/>
                <w:sz w:val="18"/>
                <w:szCs w:val="18"/>
              </w:rPr>
              <w:t>Brak infrastruktury umożliwiającej włączenie społeczne osób starszych oraz dzieci i młodzieży i/ lub istniejąca infrastruktura wymaga poprawy</w:t>
            </w:r>
          </w:p>
        </w:tc>
      </w:tr>
      <w:tr w:rsidR="00CD5CA2" w:rsidRPr="0087126B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Służewo</w:t>
            </w:r>
          </w:p>
        </w:tc>
        <w:tc>
          <w:tcPr>
            <w:tcW w:w="3134" w:type="pct"/>
            <w:shd w:val="clear" w:color="auto" w:fill="auto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953DD6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TAK</w:t>
            </w:r>
          </w:p>
        </w:tc>
      </w:tr>
    </w:tbl>
    <w:p w:rsidR="00CD5CA2" w:rsidRDefault="00CD5CA2" w:rsidP="00CD5CA2">
      <w:pPr>
        <w:rPr>
          <w:rFonts w:ascii="Calibri" w:hAnsi="Calibri" w:cs="Calibri"/>
          <w:i/>
          <w:iCs/>
          <w:sz w:val="20"/>
          <w:szCs w:val="20"/>
        </w:rPr>
      </w:pPr>
    </w:p>
    <w:p w:rsidR="00CD5CA2" w:rsidRPr="00B07FFB" w:rsidRDefault="00CD5CA2" w:rsidP="00CD5CA2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C47BA7">
        <w:rPr>
          <w:rFonts w:ascii="Calibri" w:hAnsi="Calibri" w:cs="Calibri"/>
          <w:i/>
          <w:iCs/>
          <w:sz w:val="20"/>
          <w:szCs w:val="20"/>
        </w:rPr>
        <w:t>Źródło: opracowanie własne</w:t>
      </w:r>
      <w:r>
        <w:rPr>
          <w:rFonts w:ascii="Calibri" w:hAnsi="Calibri" w:cs="Calibri"/>
          <w:i/>
          <w:iCs/>
          <w:sz w:val="20"/>
          <w:szCs w:val="20"/>
        </w:rPr>
        <w:t xml:space="preserve"> na podstawie danych Urzędu Gminy i GUS.</w:t>
      </w:r>
    </w:p>
    <w:p w:rsidR="00CD5CA2" w:rsidRDefault="00CD5CA2" w:rsidP="00CD5CA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  <w:sectPr w:rsidR="00CD5CA2" w:rsidSect="008D1DA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D5CA2" w:rsidRDefault="00CD5CA2" w:rsidP="00CD5CA2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</w:rPr>
      </w:pPr>
      <w:r w:rsidRPr="001907F7">
        <w:rPr>
          <w:rFonts w:ascii="Calibri" w:hAnsi="Calibri" w:cs="Calibri"/>
          <w:sz w:val="24"/>
          <w:szCs w:val="24"/>
        </w:rPr>
        <w:lastRenderedPageBreak/>
        <w:t xml:space="preserve">Kolejny wskaźnikiem wykorzystanym w </w:t>
      </w:r>
      <w:r>
        <w:rPr>
          <w:rFonts w:ascii="Calibri" w:hAnsi="Calibri" w:cs="Calibri"/>
          <w:sz w:val="24"/>
          <w:szCs w:val="24"/>
        </w:rPr>
        <w:t xml:space="preserve">identyfikacji stanu kryzysowego było </w:t>
      </w:r>
      <w:r w:rsidRPr="007A44E0">
        <w:rPr>
          <w:rFonts w:ascii="Calibri" w:hAnsi="Calibri" w:cs="Calibri"/>
          <w:b/>
          <w:sz w:val="24"/>
          <w:szCs w:val="24"/>
        </w:rPr>
        <w:t>występowanie przestrzeni zdegradowanej (wskaźnik techniczny)</w:t>
      </w:r>
      <w:r>
        <w:rPr>
          <w:rFonts w:ascii="Calibri" w:hAnsi="Calibri" w:cs="Calibri"/>
          <w:b/>
          <w:sz w:val="24"/>
          <w:szCs w:val="24"/>
        </w:rPr>
        <w:t xml:space="preserve"> oraz </w:t>
      </w:r>
      <w:proofErr w:type="spellStart"/>
      <w:r>
        <w:rPr>
          <w:rFonts w:ascii="Calibri" w:hAnsi="Calibri" w:cs="Calibri"/>
          <w:b/>
          <w:sz w:val="24"/>
          <w:szCs w:val="24"/>
        </w:rPr>
        <w:t>zgdiagnozowanie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problemów ze sfery </w:t>
      </w:r>
      <w:proofErr w:type="spellStart"/>
      <w:r>
        <w:rPr>
          <w:rFonts w:ascii="Calibri" w:hAnsi="Calibri" w:cs="Calibri"/>
          <w:b/>
          <w:sz w:val="24"/>
          <w:szCs w:val="24"/>
        </w:rPr>
        <w:t>przestrzenno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– funkcjonalnej</w:t>
      </w:r>
      <w:r w:rsidRPr="007A44E0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  <w:bookmarkStart w:id="5" w:name="_Hlk505942157"/>
      <w:r>
        <w:rPr>
          <w:rFonts w:ascii="Calibri" w:hAnsi="Calibri" w:cs="Calibri"/>
          <w:sz w:val="24"/>
          <w:szCs w:val="24"/>
        </w:rPr>
        <w:t>W wyniku rozeznania, dokonanego przez pracowników Urzędu Gminy, zidentyfikowano, że istniejąca infrastruktura w miejscowości Służewo jest niewystarczająca w stosunku do zdiagnozowanych potrzeb i dlatego wymaga poprawy, aby było możliwe</w:t>
      </w:r>
      <w:r w:rsidRPr="006E13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skuteczne </w:t>
      </w:r>
      <w:r w:rsidRPr="006E13AF">
        <w:rPr>
          <w:rFonts w:ascii="Calibri" w:hAnsi="Calibri" w:cs="Calibri"/>
          <w:sz w:val="24"/>
          <w:szCs w:val="24"/>
        </w:rPr>
        <w:t>włączenie społeczne osób starszych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6E13AF">
        <w:rPr>
          <w:rFonts w:ascii="Calibri" w:hAnsi="Calibri" w:cs="Calibri"/>
          <w:sz w:val="24"/>
          <w:szCs w:val="24"/>
        </w:rPr>
        <w:t>oraz dzieci i młodzież</w:t>
      </w:r>
      <w:r>
        <w:rPr>
          <w:rFonts w:ascii="Calibri" w:hAnsi="Calibri" w:cs="Calibri"/>
          <w:sz w:val="24"/>
          <w:szCs w:val="24"/>
        </w:rPr>
        <w:t>y.</w:t>
      </w:r>
    </w:p>
    <w:p w:rsidR="00CD5CA2" w:rsidRDefault="00CD5CA2" w:rsidP="00CD5CA2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miejscowości Zduny, w definicję przestrzeni zdegradowanej wpisuje się </w:t>
      </w:r>
      <w:r w:rsidRPr="00953DD6">
        <w:rPr>
          <w:rFonts w:ascii="Calibri" w:hAnsi="Calibri" w:cs="Calibri"/>
        </w:rPr>
        <w:t>zespół dworski z drugiej połowy XIX wieku</w:t>
      </w:r>
      <w:r w:rsidRPr="00953DD6">
        <w:rPr>
          <w:rFonts w:ascii="Calibri" w:hAnsi="Calibri" w:cs="Calibri"/>
          <w:color w:val="000000"/>
          <w:spacing w:val="-1"/>
        </w:rPr>
        <w:t xml:space="preserve"> zachowane skrzydło dworu o utrzymanej funkcji mieszkalnej</w:t>
      </w:r>
      <w:r>
        <w:rPr>
          <w:rFonts w:ascii="Calibri" w:hAnsi="Calibri" w:cs="Calibri"/>
          <w:sz w:val="24"/>
          <w:szCs w:val="24"/>
        </w:rPr>
        <w:t>. O</w:t>
      </w:r>
      <w:r w:rsidRPr="00A21A0B">
        <w:rPr>
          <w:rFonts w:ascii="Calibri" w:hAnsi="Calibri" w:cs="Calibri"/>
          <w:sz w:val="24"/>
          <w:szCs w:val="24"/>
        </w:rPr>
        <w:t>becny stan techniczny budynku jest dalece niezadowalający, gdyż nie spełnia wymogów umożliwiających realizację usług społecznych w społeczności lokalnej. Budynek położony jest na terenie zespołu dworskiego z 4 ćw. XIX w., nr rej.: 239/A z 20.10.1987 zabytkowego, należącego do Gminy.</w:t>
      </w:r>
      <w:r>
        <w:rPr>
          <w:rFonts w:ascii="Calibri" w:hAnsi="Calibri" w:cs="Calibri"/>
          <w:sz w:val="24"/>
          <w:szCs w:val="24"/>
        </w:rPr>
        <w:br/>
      </w:r>
      <w:r w:rsidRPr="00A21A0B">
        <w:rPr>
          <w:rFonts w:ascii="Calibri" w:hAnsi="Calibri" w:cs="Calibri"/>
          <w:sz w:val="24"/>
          <w:szCs w:val="24"/>
        </w:rPr>
        <w:t xml:space="preserve"> I piętro budynku jest zamieszkiwane przez rodziny. Trzykondygnacyjny częściowo podpiwniczonym,</w:t>
      </w:r>
      <w:r>
        <w:rPr>
          <w:rFonts w:ascii="Calibri" w:hAnsi="Calibri" w:cs="Calibri"/>
          <w:sz w:val="24"/>
          <w:szCs w:val="24"/>
        </w:rPr>
        <w:t xml:space="preserve"> </w:t>
      </w:r>
      <w:r w:rsidRPr="00A21A0B">
        <w:rPr>
          <w:rFonts w:ascii="Calibri" w:hAnsi="Calibri" w:cs="Calibri"/>
          <w:sz w:val="24"/>
          <w:szCs w:val="24"/>
        </w:rPr>
        <w:t>po remoncie w latach 70-tych.</w:t>
      </w:r>
    </w:p>
    <w:p w:rsidR="00CD5CA2" w:rsidRPr="00151C8B" w:rsidRDefault="00CD5CA2" w:rsidP="00CD5CA2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miejscowości Plebanka funkcjonuje częściowo nieużytkowany budynek dworku z 1900 roku, rozbudowanego w latach dwudziestych XX wieku, wraz z parkiem o układzie kompozycyjnym zniekształcony redukcją starodrzewu oraz samosiewem drzew i krzewów. </w:t>
      </w:r>
    </w:p>
    <w:bookmarkEnd w:id="5"/>
    <w:p w:rsidR="00CD5CA2" w:rsidRPr="00BF5CCB" w:rsidRDefault="00CD5CA2" w:rsidP="00CD5CA2">
      <w:pPr>
        <w:autoSpaceDE w:val="0"/>
        <w:autoSpaceDN w:val="0"/>
        <w:adjustRightInd w:val="0"/>
        <w:spacing w:after="0"/>
        <w:ind w:firstLine="284"/>
        <w:jc w:val="both"/>
        <w:rPr>
          <w:rFonts w:ascii="Calibri" w:hAnsi="Calibri" w:cs="Calibri"/>
          <w:bCs/>
          <w:color w:val="262626"/>
          <w:sz w:val="24"/>
          <w:szCs w:val="24"/>
          <w:highlight w:val="yellow"/>
        </w:rPr>
      </w:pPr>
      <w:r w:rsidRPr="00F92905">
        <w:rPr>
          <w:rFonts w:ascii="Calibri" w:hAnsi="Calibri" w:cs="Calibri"/>
          <w:bCs/>
          <w:color w:val="262626"/>
          <w:sz w:val="24"/>
          <w:szCs w:val="24"/>
        </w:rPr>
        <w:t xml:space="preserve">Na podstawie danych zawartych w powyższych tabelach zidentyfikowano </w:t>
      </w:r>
      <w:r w:rsidRPr="00F92905">
        <w:rPr>
          <w:rFonts w:ascii="Calibri" w:hAnsi="Calibri" w:cs="Calibri"/>
          <w:b/>
          <w:bCs/>
          <w:color w:val="262626"/>
          <w:sz w:val="24"/>
          <w:szCs w:val="24"/>
        </w:rPr>
        <w:t>obszar zdegradowany gminy</w:t>
      </w:r>
      <w:r>
        <w:rPr>
          <w:rFonts w:ascii="Calibri" w:hAnsi="Calibri" w:cs="Calibri"/>
          <w:b/>
          <w:bCs/>
          <w:color w:val="262626"/>
          <w:sz w:val="24"/>
          <w:szCs w:val="24"/>
        </w:rPr>
        <w:t xml:space="preserve"> Aleksandrów Kujawski</w:t>
      </w:r>
      <w:r w:rsidRPr="00F92905">
        <w:rPr>
          <w:rFonts w:ascii="Calibri" w:hAnsi="Calibri" w:cs="Calibri"/>
          <w:bCs/>
          <w:color w:val="262626"/>
          <w:sz w:val="24"/>
          <w:szCs w:val="24"/>
        </w:rPr>
        <w:t xml:space="preserve">, w którego skład wchodzą następujące miejscowości: </w:t>
      </w:r>
      <w:bookmarkStart w:id="6" w:name="_Hlk487103831"/>
      <w:r w:rsidRPr="00BF5CCB">
        <w:rPr>
          <w:rFonts w:ascii="Calibri" w:hAnsi="Calibri" w:cs="Calibri"/>
          <w:b/>
          <w:bCs/>
          <w:color w:val="262626"/>
          <w:sz w:val="24"/>
          <w:szCs w:val="24"/>
        </w:rPr>
        <w:t>Plebanka, Służewo, Zduny</w:t>
      </w:r>
      <w:bookmarkEnd w:id="6"/>
      <w:r w:rsidRPr="00BF5CCB">
        <w:rPr>
          <w:rFonts w:ascii="Calibri" w:hAnsi="Calibri" w:cs="Calibri"/>
          <w:bCs/>
          <w:color w:val="262626"/>
          <w:sz w:val="24"/>
          <w:szCs w:val="24"/>
        </w:rPr>
        <w:t>.</w:t>
      </w:r>
      <w:r w:rsidRPr="00F92905">
        <w:rPr>
          <w:rFonts w:ascii="Calibri" w:hAnsi="Calibri" w:cs="Calibri"/>
          <w:bCs/>
          <w:color w:val="262626"/>
          <w:sz w:val="24"/>
          <w:szCs w:val="24"/>
        </w:rPr>
        <w:t xml:space="preserve"> </w:t>
      </w:r>
      <w:r w:rsidRPr="00BF5CCB">
        <w:rPr>
          <w:rFonts w:ascii="Calibri" w:hAnsi="Calibri" w:cs="Calibri"/>
          <w:bCs/>
          <w:color w:val="262626"/>
          <w:sz w:val="24"/>
          <w:szCs w:val="24"/>
        </w:rPr>
        <w:t>W powyższych miejscowościach skoncentrowana jest największa liczba problemów społecznych, gospodarczych i technicznych na terenie gminy. W tych miejscowościach spełnione zostały jednocześnie poniższe kryteria:</w:t>
      </w:r>
    </w:p>
    <w:p w:rsidR="00CD5CA2" w:rsidRPr="00F92905" w:rsidRDefault="00CD5CA2" w:rsidP="00CD5C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BF5CCB">
        <w:rPr>
          <w:rFonts w:ascii="Calibri" w:hAnsi="Calibri" w:cs="Calibri"/>
          <w:bCs/>
          <w:color w:val="262626"/>
          <w:sz w:val="24"/>
          <w:szCs w:val="24"/>
        </w:rPr>
        <w:t>Na terenie miejscowości identyfikuje się co najmniej 2 problemy społeczne mierzone wskaźnikami, spośród tych, które określone zostały na liście wskaźników</w:t>
      </w:r>
      <w:r w:rsidRPr="00F92905">
        <w:rPr>
          <w:rFonts w:ascii="Calibri" w:hAnsi="Calibri" w:cs="Calibri"/>
          <w:bCs/>
          <w:color w:val="262626"/>
          <w:sz w:val="24"/>
          <w:szCs w:val="24"/>
        </w:rPr>
        <w:t xml:space="preserve"> stanu kryzysowego na obszarach wiejskich w załączniku nr 3 do Zasad programowania przedsięwzięć rewitalizacyjnych w celu ubiegania się o środki finansowe w ramach Regionalnego Programu Operacyjnego Województwa Kujawsko-Pomorskiego na lata 2014-2020; jednocześnie wskaźniki te przyjmują w miejscowości wartości mniej korzystne od średniej ich wartości dla gminy.</w:t>
      </w:r>
    </w:p>
    <w:p w:rsidR="00CD5CA2" w:rsidRPr="00F92905" w:rsidRDefault="00CD5CA2" w:rsidP="00CD5C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92905">
        <w:rPr>
          <w:rFonts w:ascii="Calibri" w:hAnsi="Calibri" w:cs="Calibri"/>
          <w:bCs/>
          <w:color w:val="262626"/>
          <w:sz w:val="24"/>
          <w:szCs w:val="24"/>
        </w:rPr>
        <w:t>Na terenie miejscowości znajdują się przestrzenie zdegradowane lub gmina może zaproponować inne kryterium (negatywnego zjawisko) reprezentujące przynajmniej jedną ze sfer (gospodarczą, środowiskową, przestrzenno-funkcjonalną lub techniczną).</w:t>
      </w: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262626"/>
          <w:sz w:val="24"/>
          <w:szCs w:val="24"/>
        </w:rPr>
      </w:pP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262626"/>
          <w:sz w:val="24"/>
          <w:szCs w:val="24"/>
        </w:rPr>
      </w:pPr>
      <w:r w:rsidRPr="00BF5CCB">
        <w:rPr>
          <w:rFonts w:ascii="Calibri" w:hAnsi="Calibri" w:cs="Calibri"/>
          <w:b/>
          <w:bCs/>
          <w:color w:val="262626"/>
          <w:sz w:val="24"/>
          <w:szCs w:val="24"/>
        </w:rPr>
        <w:t>Miejscowości, w których stwierdzono występowanie stanu kryzysowego – obszar zdegradowany gminy:</w:t>
      </w: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262626"/>
          <w:sz w:val="24"/>
          <w:szCs w:val="24"/>
        </w:rPr>
      </w:pPr>
    </w:p>
    <w:p w:rsidR="00CD5CA2" w:rsidRPr="00F92905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.</w:t>
      </w: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F92905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262626"/>
          <w:sz w:val="24"/>
          <w:szCs w:val="24"/>
        </w:rPr>
      </w:pPr>
    </w:p>
    <w:p w:rsidR="00CD5CA2" w:rsidRPr="001208C7" w:rsidRDefault="00CD5CA2" w:rsidP="00CD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208C7">
        <w:rPr>
          <w:rFonts w:ascii="Calibri" w:hAnsi="Calibri" w:cs="Calibri"/>
          <w:b/>
          <w:bCs/>
          <w:color w:val="262626"/>
          <w:sz w:val="24"/>
          <w:szCs w:val="24"/>
        </w:rPr>
        <w:t>Plebanka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– miejscowość liczy 251 mieszkańców, co stanowi 2</w:t>
      </w:r>
      <w:r>
        <w:rPr>
          <w:rFonts w:ascii="Calibri" w:hAnsi="Calibri" w:cs="Calibri"/>
          <w:bCs/>
          <w:color w:val="262626"/>
          <w:sz w:val="24"/>
          <w:szCs w:val="24"/>
        </w:rPr>
        <w:t>,01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% mieszkańców gminy. </w:t>
      </w:r>
    </w:p>
    <w:p w:rsidR="00CD5CA2" w:rsidRPr="001208C7" w:rsidRDefault="00CD5CA2" w:rsidP="00CD5C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Na terenie miejscowości zidentyfikowano następujące </w:t>
      </w:r>
      <w:r w:rsidRPr="001208C7">
        <w:rPr>
          <w:rFonts w:ascii="Calibri" w:hAnsi="Calibri" w:cs="Calibri"/>
          <w:b/>
          <w:bCs/>
          <w:color w:val="262626"/>
          <w:sz w:val="24"/>
          <w:szCs w:val="24"/>
        </w:rPr>
        <w:t>problemy społeczne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:</w:t>
      </w:r>
    </w:p>
    <w:p w:rsidR="00CD5CA2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26B2A">
        <w:rPr>
          <w:rFonts w:ascii="Calibri" w:hAnsi="Calibri" w:cs="Calibri"/>
          <w:bCs/>
          <w:color w:val="262626"/>
          <w:sz w:val="24"/>
          <w:szCs w:val="24"/>
        </w:rPr>
        <w:lastRenderedPageBreak/>
        <w:t>Udział osób w gospodarstwach domowych korzystających ze środowiskowej pomocy społecznej w ludności ogółem na danym obszarze</w:t>
      </w:r>
      <w:r w:rsidRPr="00426B2A" w:rsidDel="00426B2A">
        <w:rPr>
          <w:rFonts w:ascii="Calibri" w:hAnsi="Calibri" w:cs="Calibri"/>
          <w:bCs/>
          <w:color w:val="262626"/>
          <w:sz w:val="24"/>
          <w:szCs w:val="24"/>
        </w:rPr>
        <w:t xml:space="preserve"> 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(</w:t>
      </w:r>
      <w:r>
        <w:rPr>
          <w:rFonts w:ascii="Calibri" w:hAnsi="Calibri" w:cs="Calibri"/>
          <w:bCs/>
          <w:color w:val="262626"/>
          <w:sz w:val="24"/>
          <w:szCs w:val="24"/>
        </w:rPr>
        <w:t>11,95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1208C7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26B2A">
        <w:rPr>
          <w:rFonts w:ascii="Calibri" w:hAnsi="Calibri" w:cs="Calibri"/>
          <w:bCs/>
          <w:color w:val="262626"/>
          <w:sz w:val="24"/>
          <w:szCs w:val="24"/>
        </w:rPr>
        <w:t>Udział dzieci do lat 17, na które rodzice otrzymują zasiłek rodzinny w ogólnej liczbie dzieci w tym wieku na danym obszarze</w:t>
      </w:r>
      <w:r>
        <w:rPr>
          <w:rFonts w:ascii="Calibri" w:hAnsi="Calibri" w:cs="Calibri"/>
          <w:bCs/>
          <w:color w:val="262626"/>
          <w:sz w:val="24"/>
          <w:szCs w:val="24"/>
        </w:rPr>
        <w:t xml:space="preserve"> (92,31%),</w:t>
      </w:r>
    </w:p>
    <w:p w:rsidR="00CD5CA2" w:rsidRPr="001208C7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Stosunek ludności w wieku poprodukcyjnym względem ludności w wieku produkcyjnym na danym obszarze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(</w:t>
      </w:r>
      <w:r>
        <w:rPr>
          <w:rFonts w:ascii="Calibri" w:hAnsi="Calibri" w:cs="Calibri"/>
          <w:bCs/>
          <w:color w:val="262626"/>
          <w:sz w:val="24"/>
          <w:szCs w:val="24"/>
        </w:rPr>
        <w:t>30,77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1208C7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Miejscowość należy do rejonu obsługi szkoły podstawowej o niskim poziomie kształcenia (wg kryterium szczegółowego)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(</w:t>
      </w:r>
      <w:r>
        <w:rPr>
          <w:rFonts w:ascii="Calibri" w:hAnsi="Calibri" w:cs="Calibri"/>
          <w:bCs/>
          <w:color w:val="262626"/>
          <w:sz w:val="24"/>
          <w:szCs w:val="24"/>
        </w:rPr>
        <w:t>poniżej średniej wojewódzkiej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).</w:t>
      </w:r>
    </w:p>
    <w:p w:rsidR="00CD5CA2" w:rsidRPr="001208C7" w:rsidRDefault="00CD5CA2" w:rsidP="00CD5CA2">
      <w:pPr>
        <w:autoSpaceDE w:val="0"/>
        <w:autoSpaceDN w:val="0"/>
        <w:adjustRightInd w:val="0"/>
        <w:spacing w:after="0"/>
        <w:ind w:firstLine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Na terenie miejscowości zidentyfikowano następujące </w:t>
      </w:r>
      <w:r w:rsidRPr="001208C7">
        <w:rPr>
          <w:rFonts w:ascii="Calibri" w:hAnsi="Calibri" w:cs="Calibri"/>
          <w:b/>
          <w:bCs/>
          <w:color w:val="262626"/>
          <w:sz w:val="24"/>
          <w:szCs w:val="24"/>
        </w:rPr>
        <w:t xml:space="preserve">problemy </w:t>
      </w:r>
      <w:r>
        <w:rPr>
          <w:rFonts w:ascii="Calibri" w:hAnsi="Calibri" w:cs="Calibri"/>
          <w:b/>
          <w:bCs/>
          <w:color w:val="262626"/>
          <w:sz w:val="24"/>
          <w:szCs w:val="24"/>
        </w:rPr>
        <w:t>przestrzenno-funkcjonalne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:</w:t>
      </w:r>
    </w:p>
    <w:p w:rsidR="00CD5CA2" w:rsidRPr="001208C7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Występowanie przestrzeni zdegradowanej.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Wszystkie powyższe wskaźniki przyjmują wartości mniej korzystne od średniej 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br/>
        <w:t xml:space="preserve">ich wartości dla gminy. Wartości wskaźników w miejscowości Plebanka wskazują 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br/>
        <w:t xml:space="preserve">na zaawansowanie procesów starzenia się ludności, </w:t>
      </w:r>
      <w:r>
        <w:rPr>
          <w:rFonts w:ascii="Calibri" w:hAnsi="Calibri" w:cs="Calibri"/>
          <w:bCs/>
          <w:color w:val="262626"/>
          <w:sz w:val="24"/>
          <w:szCs w:val="24"/>
        </w:rPr>
        <w:t>bezrobocia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, </w:t>
      </w:r>
      <w:r>
        <w:rPr>
          <w:rFonts w:ascii="Calibri" w:hAnsi="Calibri" w:cs="Calibri"/>
          <w:bCs/>
          <w:color w:val="262626"/>
          <w:sz w:val="24"/>
          <w:szCs w:val="24"/>
        </w:rPr>
        <w:t>niskiej efektywności nauczania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oraz </w:t>
      </w:r>
      <w:r>
        <w:rPr>
          <w:rFonts w:ascii="Calibri" w:hAnsi="Calibri" w:cs="Calibri"/>
          <w:bCs/>
          <w:color w:val="262626"/>
          <w:sz w:val="24"/>
          <w:szCs w:val="24"/>
        </w:rPr>
        <w:t>występowaniu przestrzeni zdegradowanej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4C0A53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  <w:highlight w:val="yellow"/>
        </w:rPr>
      </w:pPr>
    </w:p>
    <w:p w:rsidR="00CD5CA2" w:rsidRPr="0018678D" w:rsidRDefault="00CD5CA2" w:rsidP="00CD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8678D">
        <w:rPr>
          <w:rFonts w:ascii="Calibri" w:hAnsi="Calibri" w:cs="Calibri"/>
          <w:b/>
          <w:bCs/>
          <w:color w:val="262626"/>
          <w:sz w:val="24"/>
          <w:szCs w:val="24"/>
        </w:rPr>
        <w:t xml:space="preserve">Służewo </w:t>
      </w:r>
      <w:r w:rsidRPr="0018678D">
        <w:rPr>
          <w:rFonts w:ascii="Calibri" w:hAnsi="Calibri" w:cs="Calibri"/>
          <w:bCs/>
          <w:color w:val="262626"/>
          <w:sz w:val="24"/>
          <w:szCs w:val="24"/>
        </w:rPr>
        <w:t xml:space="preserve">– miejscowość jest odległa o 5 km od miasta Aleksandrów Kujawski oraz o około 14 km od Uzdrowiska Ciechocinek. Służewo liczy 1213 mieszkańców, co stanowi 9,71% mieszkańców gminy. Na terenie miejscowości zidentyfikowano następujące </w:t>
      </w:r>
      <w:r w:rsidRPr="0018678D">
        <w:rPr>
          <w:rFonts w:ascii="Calibri" w:hAnsi="Calibri" w:cs="Calibri"/>
          <w:b/>
          <w:bCs/>
          <w:color w:val="262626"/>
          <w:sz w:val="24"/>
          <w:szCs w:val="24"/>
        </w:rPr>
        <w:t>problemy społeczne</w:t>
      </w:r>
      <w:r w:rsidRPr="0018678D">
        <w:rPr>
          <w:rFonts w:ascii="Calibri" w:hAnsi="Calibri" w:cs="Calibri"/>
          <w:bCs/>
          <w:color w:val="262626"/>
          <w:sz w:val="24"/>
          <w:szCs w:val="24"/>
        </w:rPr>
        <w:t>:</w:t>
      </w:r>
    </w:p>
    <w:p w:rsidR="00CD5CA2" w:rsidRPr="00426B2A" w:rsidRDefault="00CD5CA2" w:rsidP="0026737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26B2A">
        <w:rPr>
          <w:rFonts w:ascii="Calibri" w:hAnsi="Calibri" w:cs="Calibri"/>
          <w:bCs/>
          <w:color w:val="262626"/>
          <w:sz w:val="24"/>
          <w:szCs w:val="24"/>
        </w:rPr>
        <w:t>Udział osób w gospodarstwach domowych korzystających ze środowiskowej pomocy społecznej w ludności ogółem na danym obszarze  (1</w:t>
      </w:r>
      <w:r>
        <w:rPr>
          <w:rFonts w:ascii="Calibri" w:hAnsi="Calibri" w:cs="Calibri"/>
          <w:bCs/>
          <w:color w:val="262626"/>
          <w:sz w:val="24"/>
          <w:szCs w:val="24"/>
        </w:rPr>
        <w:t>4,59</w:t>
      </w:r>
      <w:r w:rsidRPr="00426B2A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426B2A" w:rsidRDefault="00CD5CA2" w:rsidP="0026737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26B2A">
        <w:rPr>
          <w:rFonts w:ascii="Calibri" w:hAnsi="Calibri" w:cs="Calibri"/>
          <w:bCs/>
          <w:color w:val="262626"/>
          <w:sz w:val="24"/>
          <w:szCs w:val="24"/>
        </w:rPr>
        <w:t>Udział dzieci do lat 17, na które rodzice otrzymują zasiłek rodzinny w ogólnej liczbie dzieci w tym wieku na danym obszarze (</w:t>
      </w:r>
      <w:r>
        <w:rPr>
          <w:rFonts w:ascii="Calibri" w:hAnsi="Calibri" w:cs="Calibri"/>
          <w:bCs/>
          <w:color w:val="262626"/>
          <w:sz w:val="24"/>
          <w:szCs w:val="24"/>
        </w:rPr>
        <w:t>85,65</w:t>
      </w:r>
      <w:r w:rsidRPr="00426B2A">
        <w:rPr>
          <w:rFonts w:ascii="Calibri" w:hAnsi="Calibri" w:cs="Calibri"/>
          <w:bCs/>
          <w:color w:val="262626"/>
          <w:sz w:val="24"/>
          <w:szCs w:val="24"/>
        </w:rPr>
        <w:t>%)</w:t>
      </w:r>
      <w:r>
        <w:rPr>
          <w:rFonts w:ascii="Calibri" w:hAnsi="Calibri" w:cs="Calibri"/>
          <w:bCs/>
          <w:color w:val="262626"/>
          <w:sz w:val="24"/>
          <w:szCs w:val="24"/>
        </w:rPr>
        <w:t>,</w:t>
      </w:r>
    </w:p>
    <w:p w:rsidR="00CD5CA2" w:rsidRPr="00F11BD7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44431F" w:rsidRDefault="00CD5CA2" w:rsidP="0026737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4431F">
        <w:rPr>
          <w:rFonts w:ascii="Calibri" w:hAnsi="Calibri" w:cs="Calibri"/>
          <w:bCs/>
          <w:color w:val="262626"/>
          <w:sz w:val="24"/>
          <w:szCs w:val="24"/>
        </w:rPr>
        <w:t>Stosunek ludności w wieku poprodukcyjnym względem ludności w wieku produkcyjnym na danym obszarze (</w:t>
      </w:r>
      <w:r>
        <w:rPr>
          <w:rFonts w:ascii="Calibri" w:hAnsi="Calibri" w:cs="Calibri"/>
          <w:bCs/>
          <w:color w:val="262626"/>
          <w:sz w:val="24"/>
          <w:szCs w:val="24"/>
        </w:rPr>
        <w:t>37,40</w:t>
      </w:r>
      <w:r w:rsidRPr="0044431F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44431F" w:rsidRDefault="00CD5CA2" w:rsidP="0026737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4431F">
        <w:rPr>
          <w:rFonts w:ascii="Calibri" w:hAnsi="Calibri" w:cs="Calibri"/>
          <w:bCs/>
          <w:color w:val="262626"/>
          <w:sz w:val="24"/>
          <w:szCs w:val="24"/>
        </w:rPr>
        <w:t>Miejscowość należy do rejonu obsługi szkoły podstawowej o niskim poziomie kształcenia (wg kryterium szczegółowego) (poniżej średniej wojewódzkiej).</w:t>
      </w:r>
    </w:p>
    <w:p w:rsidR="00CD5CA2" w:rsidRPr="001E7193" w:rsidRDefault="00CD5CA2" w:rsidP="00CD5CA2">
      <w:pPr>
        <w:autoSpaceDE w:val="0"/>
        <w:autoSpaceDN w:val="0"/>
        <w:adjustRightInd w:val="0"/>
        <w:spacing w:after="0"/>
        <w:ind w:firstLine="284"/>
        <w:jc w:val="both"/>
        <w:rPr>
          <w:rFonts w:ascii="Calibri" w:hAnsi="Calibri" w:cs="Calibri"/>
          <w:b/>
          <w:bCs/>
          <w:color w:val="262626"/>
          <w:sz w:val="24"/>
          <w:szCs w:val="24"/>
        </w:rPr>
      </w:pPr>
      <w:r w:rsidRPr="001E7193">
        <w:rPr>
          <w:rFonts w:ascii="Calibri" w:hAnsi="Calibri" w:cs="Calibri"/>
          <w:bCs/>
          <w:color w:val="262626"/>
          <w:sz w:val="24"/>
          <w:szCs w:val="24"/>
        </w:rPr>
        <w:t xml:space="preserve">Na terenie miejscowości Służewo zidentyfikowano następujące </w:t>
      </w:r>
      <w:r w:rsidRPr="001E7193">
        <w:rPr>
          <w:rFonts w:ascii="Calibri" w:hAnsi="Calibri" w:cs="Calibri"/>
          <w:b/>
          <w:bCs/>
          <w:color w:val="262626"/>
          <w:sz w:val="24"/>
          <w:szCs w:val="24"/>
        </w:rPr>
        <w:t xml:space="preserve">problemy </w:t>
      </w:r>
      <w:r>
        <w:rPr>
          <w:rFonts w:ascii="Calibri" w:hAnsi="Calibri" w:cs="Calibri"/>
          <w:b/>
          <w:bCs/>
          <w:color w:val="262626"/>
          <w:sz w:val="24"/>
          <w:szCs w:val="24"/>
        </w:rPr>
        <w:t>przestrzenno-funkcjonalne</w:t>
      </w:r>
      <w:r w:rsidRPr="001E7193">
        <w:rPr>
          <w:rFonts w:ascii="Calibri" w:hAnsi="Calibri" w:cs="Calibri"/>
          <w:b/>
          <w:bCs/>
          <w:color w:val="262626"/>
          <w:sz w:val="24"/>
          <w:szCs w:val="24"/>
        </w:rPr>
        <w:t>:</w:t>
      </w:r>
    </w:p>
    <w:p w:rsidR="00CD5CA2" w:rsidRPr="001E7193" w:rsidRDefault="00CD5CA2" w:rsidP="00CD5C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426B2A">
        <w:rPr>
          <w:rFonts w:ascii="Calibri" w:hAnsi="Calibri" w:cs="Calibri"/>
          <w:bCs/>
          <w:color w:val="262626"/>
          <w:sz w:val="24"/>
          <w:szCs w:val="24"/>
        </w:rPr>
        <w:t>Brak infrastruktury umożliwiającej włączenie społeczne osób starszych oraz dzieci i młodzieży i/ lub istniejąca infrastruktura wymaga poprawy</w:t>
      </w:r>
      <w:r>
        <w:rPr>
          <w:rFonts w:ascii="Calibri" w:hAnsi="Calibri" w:cs="Calibri"/>
          <w:bCs/>
          <w:color w:val="262626"/>
          <w:sz w:val="24"/>
          <w:szCs w:val="24"/>
        </w:rPr>
        <w:t>.</w:t>
      </w:r>
      <w:r w:rsidRPr="001E7193">
        <w:rPr>
          <w:rFonts w:ascii="Calibri" w:hAnsi="Calibri" w:cs="Calibri"/>
          <w:bCs/>
          <w:color w:val="262626"/>
          <w:sz w:val="24"/>
          <w:szCs w:val="24"/>
        </w:rPr>
        <w:t>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1E7193">
        <w:rPr>
          <w:rFonts w:ascii="Calibri" w:hAnsi="Calibri" w:cs="Calibri"/>
          <w:bCs/>
          <w:color w:val="262626"/>
          <w:sz w:val="24"/>
          <w:szCs w:val="24"/>
        </w:rPr>
        <w:t xml:space="preserve">Wszystkie powyższe wskaźniki przyjmują wartości mniej korzystne od średniej </w:t>
      </w:r>
      <w:r w:rsidRPr="001E7193">
        <w:rPr>
          <w:rFonts w:ascii="Calibri" w:hAnsi="Calibri" w:cs="Calibri"/>
          <w:bCs/>
          <w:color w:val="262626"/>
          <w:sz w:val="24"/>
          <w:szCs w:val="24"/>
        </w:rPr>
        <w:br/>
        <w:t xml:space="preserve">ich wartości dla gminy. Wartości wskaźników w miejscowości Służewo wskazują </w:t>
      </w:r>
      <w:r w:rsidRPr="001E7193">
        <w:rPr>
          <w:rFonts w:ascii="Calibri" w:hAnsi="Calibri" w:cs="Calibri"/>
          <w:bCs/>
          <w:color w:val="262626"/>
          <w:sz w:val="24"/>
          <w:szCs w:val="24"/>
        </w:rPr>
        <w:br/>
        <w:t xml:space="preserve">na zaawansowanie procesów starzenia się ludności, </w:t>
      </w:r>
      <w:r>
        <w:rPr>
          <w:rFonts w:ascii="Calibri" w:hAnsi="Calibri" w:cs="Calibri"/>
          <w:bCs/>
          <w:color w:val="262626"/>
          <w:sz w:val="24"/>
          <w:szCs w:val="24"/>
        </w:rPr>
        <w:t>bezrobocia</w:t>
      </w:r>
      <w:r w:rsidRPr="001E7193">
        <w:rPr>
          <w:rFonts w:ascii="Calibri" w:hAnsi="Calibri" w:cs="Calibri"/>
          <w:bCs/>
          <w:color w:val="262626"/>
          <w:sz w:val="24"/>
          <w:szCs w:val="24"/>
        </w:rPr>
        <w:t xml:space="preserve">, </w:t>
      </w:r>
      <w:r>
        <w:rPr>
          <w:rFonts w:ascii="Calibri" w:hAnsi="Calibri" w:cs="Calibri"/>
          <w:bCs/>
          <w:color w:val="262626"/>
          <w:sz w:val="24"/>
          <w:szCs w:val="24"/>
        </w:rPr>
        <w:t>niski poziom efektywności edukacji</w:t>
      </w:r>
      <w:r w:rsidRPr="001E7193">
        <w:rPr>
          <w:rFonts w:ascii="Calibri" w:hAnsi="Calibri" w:cs="Calibri"/>
          <w:bCs/>
          <w:color w:val="262626"/>
          <w:sz w:val="24"/>
          <w:szCs w:val="24"/>
        </w:rPr>
        <w:t xml:space="preserve"> </w:t>
      </w:r>
      <w:r w:rsidRPr="003F6F51">
        <w:rPr>
          <w:rFonts w:ascii="Calibri" w:hAnsi="Calibri" w:cs="Calibri"/>
          <w:bCs/>
          <w:color w:val="262626"/>
          <w:sz w:val="24"/>
          <w:szCs w:val="24"/>
        </w:rPr>
        <w:t xml:space="preserve">oraz </w:t>
      </w:r>
      <w:r>
        <w:rPr>
          <w:rFonts w:ascii="Calibri" w:hAnsi="Calibri" w:cs="Calibri"/>
          <w:bCs/>
          <w:color w:val="262626"/>
          <w:sz w:val="24"/>
          <w:szCs w:val="24"/>
        </w:rPr>
        <w:t>występowanie przestrzeni zdegradowanej</w:t>
      </w:r>
      <w:r w:rsidRPr="003F6F51">
        <w:rPr>
          <w:rFonts w:ascii="Calibri" w:hAnsi="Calibri" w:cs="Calibri"/>
          <w:bCs/>
          <w:color w:val="262626"/>
          <w:sz w:val="24"/>
          <w:szCs w:val="24"/>
        </w:rPr>
        <w:t>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4C0A53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  <w:highlight w:val="yellow"/>
        </w:rPr>
      </w:pPr>
    </w:p>
    <w:p w:rsidR="00CD5CA2" w:rsidRPr="005C7EF6" w:rsidRDefault="00CD5CA2" w:rsidP="00CD5C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5C7EF6">
        <w:rPr>
          <w:rFonts w:ascii="Calibri" w:hAnsi="Calibri" w:cs="Calibri"/>
          <w:b/>
          <w:bCs/>
          <w:color w:val="262626"/>
          <w:sz w:val="24"/>
          <w:szCs w:val="24"/>
        </w:rPr>
        <w:lastRenderedPageBreak/>
        <w:t xml:space="preserve">Zduny </w:t>
      </w:r>
      <w:r w:rsidRPr="005C7EF6">
        <w:rPr>
          <w:rFonts w:ascii="Calibri" w:hAnsi="Calibri" w:cs="Calibri"/>
          <w:bCs/>
          <w:color w:val="262626"/>
          <w:sz w:val="24"/>
          <w:szCs w:val="24"/>
        </w:rPr>
        <w:t xml:space="preserve">– na terenie miejscowości Zduny znajdują się 22 gospodarstwa rolne mieszczące się w granicach od 1 do 33,40 ha, co stanowi 1,64% gospodarstw rolnych </w:t>
      </w:r>
      <w:r w:rsidRPr="005C7EF6">
        <w:rPr>
          <w:rFonts w:ascii="Calibri" w:hAnsi="Calibri" w:cs="Calibri"/>
          <w:bCs/>
          <w:color w:val="262626"/>
          <w:sz w:val="24"/>
          <w:szCs w:val="24"/>
        </w:rPr>
        <w:br/>
        <w:t xml:space="preserve">w gminie. Miejscowość liczy 132 mieszkańców, co stanowi 1,06% mieszkańców gminy. </w:t>
      </w:r>
    </w:p>
    <w:p w:rsidR="00CD5CA2" w:rsidRPr="005C7EF6" w:rsidRDefault="00CD5CA2" w:rsidP="00CD5C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5C7EF6">
        <w:rPr>
          <w:rFonts w:ascii="Calibri" w:hAnsi="Calibri" w:cs="Calibri"/>
          <w:bCs/>
          <w:color w:val="262626"/>
          <w:sz w:val="24"/>
          <w:szCs w:val="24"/>
        </w:rPr>
        <w:t xml:space="preserve">Na terenie miejscowości zidentyfikowano następujące </w:t>
      </w:r>
      <w:r w:rsidRPr="005C7EF6">
        <w:rPr>
          <w:rFonts w:ascii="Calibri" w:hAnsi="Calibri" w:cs="Calibri"/>
          <w:b/>
          <w:bCs/>
          <w:color w:val="262626"/>
          <w:sz w:val="24"/>
          <w:szCs w:val="24"/>
        </w:rPr>
        <w:t>problemy społeczne</w:t>
      </w:r>
      <w:r w:rsidRPr="005C7EF6">
        <w:rPr>
          <w:rFonts w:ascii="Calibri" w:hAnsi="Calibri" w:cs="Calibri"/>
          <w:bCs/>
          <w:color w:val="262626"/>
          <w:sz w:val="24"/>
          <w:szCs w:val="24"/>
        </w:rPr>
        <w:t>:</w:t>
      </w:r>
    </w:p>
    <w:p w:rsidR="00CD5CA2" w:rsidRPr="00F11BD7" w:rsidRDefault="00CD5CA2" w:rsidP="00CD5C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11BD7">
        <w:rPr>
          <w:rFonts w:ascii="Calibri" w:hAnsi="Calibri" w:cs="Calibri"/>
          <w:bCs/>
          <w:color w:val="262626"/>
          <w:sz w:val="24"/>
          <w:szCs w:val="24"/>
        </w:rPr>
        <w:t>Udział osób w gospodarstwach domowych korzystających ze środowiskowej pomocy społecznej w ludności ogółem na danym obszarze  (1</w:t>
      </w:r>
      <w:r>
        <w:rPr>
          <w:rFonts w:ascii="Calibri" w:hAnsi="Calibri" w:cs="Calibri"/>
          <w:bCs/>
          <w:color w:val="262626"/>
          <w:sz w:val="24"/>
          <w:szCs w:val="24"/>
        </w:rPr>
        <w:t>9</w:t>
      </w:r>
      <w:r w:rsidRPr="00F11BD7">
        <w:rPr>
          <w:rFonts w:ascii="Calibri" w:hAnsi="Calibri" w:cs="Calibri"/>
          <w:bCs/>
          <w:color w:val="262626"/>
          <w:sz w:val="24"/>
          <w:szCs w:val="24"/>
        </w:rPr>
        <w:t>,</w:t>
      </w:r>
      <w:r>
        <w:rPr>
          <w:rFonts w:ascii="Calibri" w:hAnsi="Calibri" w:cs="Calibri"/>
          <w:bCs/>
          <w:color w:val="262626"/>
          <w:sz w:val="24"/>
          <w:szCs w:val="24"/>
        </w:rPr>
        <w:t>70</w:t>
      </w:r>
      <w:r w:rsidRPr="00F11BD7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F11BD7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Stosunek ludności w wieku poprodukcyjnym względem ludności w wieku produkcyjnym na danym obszarze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 xml:space="preserve"> (</w:t>
      </w:r>
      <w:r>
        <w:rPr>
          <w:rFonts w:ascii="Calibri" w:hAnsi="Calibri" w:cs="Calibri"/>
          <w:bCs/>
          <w:color w:val="262626"/>
          <w:sz w:val="24"/>
          <w:szCs w:val="24"/>
        </w:rPr>
        <w:t>45,59</w:t>
      </w:r>
      <w:r w:rsidRPr="001208C7">
        <w:rPr>
          <w:rFonts w:ascii="Calibri" w:hAnsi="Calibri" w:cs="Calibri"/>
          <w:bCs/>
          <w:color w:val="262626"/>
          <w:sz w:val="24"/>
          <w:szCs w:val="24"/>
        </w:rPr>
        <w:t>%),</w:t>
      </w:r>
    </w:p>
    <w:p w:rsidR="00CD5CA2" w:rsidRPr="00F11BD7" w:rsidRDefault="00CD5CA2" w:rsidP="002673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11BD7">
        <w:rPr>
          <w:rFonts w:ascii="Calibri" w:hAnsi="Calibri" w:cs="Calibri"/>
          <w:bCs/>
          <w:color w:val="262626"/>
          <w:sz w:val="24"/>
          <w:szCs w:val="24"/>
        </w:rPr>
        <w:t>Miejscowość należy do rejonu obsługi szkoły podstawowej o niskim poziomie kształcenia (wg kryterium szczegółowego) (poniżej średniej wojewódzkiej).</w:t>
      </w:r>
    </w:p>
    <w:p w:rsidR="00CD5CA2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7464A3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>
        <w:rPr>
          <w:rFonts w:ascii="Calibri" w:hAnsi="Calibri" w:cs="Calibri"/>
          <w:bCs/>
          <w:color w:val="262626"/>
          <w:sz w:val="24"/>
          <w:szCs w:val="24"/>
        </w:rPr>
        <w:t>Ponadto na terenie miejscowości Zduny stwierdzono problem ze sfery przestrzenno-funkcjonalnej: występowanie przestrzeni zdegradowanej.</w:t>
      </w:r>
    </w:p>
    <w:p w:rsidR="00CD5CA2" w:rsidRDefault="00CD5CA2" w:rsidP="00CD5CA2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Pr="005977B3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5977B3">
        <w:rPr>
          <w:rFonts w:ascii="Calibri" w:hAnsi="Calibri" w:cs="Calibri"/>
          <w:bCs/>
          <w:color w:val="262626"/>
          <w:sz w:val="24"/>
          <w:szCs w:val="24"/>
        </w:rPr>
        <w:t xml:space="preserve">Wszystkie powyższe wskaźniki przyjmują wartości mniej korzystne od średniej </w:t>
      </w:r>
      <w:r w:rsidRPr="005977B3">
        <w:rPr>
          <w:rFonts w:ascii="Calibri" w:hAnsi="Calibri" w:cs="Calibri"/>
          <w:bCs/>
          <w:color w:val="262626"/>
          <w:sz w:val="24"/>
          <w:szCs w:val="24"/>
        </w:rPr>
        <w:br/>
        <w:t xml:space="preserve">ich wartości dla gminy. Wartości wskaźników w miejscowości Zduny wskazują </w:t>
      </w:r>
      <w:r w:rsidRPr="005977B3">
        <w:rPr>
          <w:rFonts w:ascii="Calibri" w:hAnsi="Calibri" w:cs="Calibri"/>
          <w:bCs/>
          <w:color w:val="262626"/>
          <w:sz w:val="24"/>
          <w:szCs w:val="24"/>
        </w:rPr>
        <w:br/>
        <w:t>na zaawansowanie procesów starzenia się ludności, słabą aktywność gospodarczą mieszkańców oraz na brak samowystarczalności ekonomicznej ludności i gospodarstw domowych.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tbl>
      <w:tblPr>
        <w:tblStyle w:val="Tabelasiatki2"/>
        <w:tblW w:w="5000" w:type="pct"/>
        <w:tblLook w:val="04A0" w:firstRow="1" w:lastRow="0" w:firstColumn="1" w:lastColumn="0" w:noHBand="0" w:noVBand="1"/>
      </w:tblPr>
      <w:tblGrid>
        <w:gridCol w:w="4535"/>
        <w:gridCol w:w="4535"/>
      </w:tblGrid>
      <w:tr w:rsidR="00CD5CA2" w:rsidTr="00F1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CD5CA2" w:rsidRPr="00AE0048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 w:val="0"/>
                <w:color w:val="262626"/>
                <w:sz w:val="24"/>
                <w:szCs w:val="24"/>
                <w:highlight w:val="yellow"/>
              </w:rPr>
            </w:pPr>
            <w:r w:rsidRPr="003D3885">
              <w:rPr>
                <w:rFonts w:ascii="Calibri" w:hAnsi="Calibri" w:cs="Calibri"/>
                <w:bCs w:val="0"/>
                <w:color w:val="262626"/>
                <w:sz w:val="24"/>
                <w:szCs w:val="24"/>
              </w:rPr>
              <w:t>Powierzchnia obszaru zdegradowanego</w:t>
            </w:r>
          </w:p>
        </w:tc>
        <w:tc>
          <w:tcPr>
            <w:tcW w:w="2500" w:type="pct"/>
          </w:tcPr>
          <w:p w:rsidR="00CD5CA2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262626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262626"/>
                <w:sz w:val="24"/>
                <w:szCs w:val="24"/>
              </w:rPr>
              <w:t>Liczba mieszkańców obszaru zdegradowanego</w:t>
            </w:r>
          </w:p>
        </w:tc>
      </w:tr>
      <w:tr w:rsidR="00CD5CA2" w:rsidTr="00F11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CD5CA2" w:rsidRPr="00953DD6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</w:rPr>
              <w:t>14,4 km</w:t>
            </w:r>
            <w:r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00" w:type="pct"/>
          </w:tcPr>
          <w:p w:rsidR="00CD5CA2" w:rsidRPr="005A7820" w:rsidRDefault="00CD5CA2" w:rsidP="00F11BD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bCs/>
                <w:color w:val="262626"/>
                <w:sz w:val="24"/>
                <w:szCs w:val="24"/>
              </w:rPr>
              <w:t>1 596</w:t>
            </w:r>
          </w:p>
        </w:tc>
      </w:tr>
      <w:tr w:rsidR="00CD5CA2" w:rsidTr="00F1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CD5CA2" w:rsidRPr="00AE0048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 w:val="0"/>
                <w:color w:val="262626"/>
                <w:sz w:val="24"/>
                <w:szCs w:val="24"/>
                <w:highlight w:val="yellow"/>
              </w:rPr>
            </w:pPr>
            <w:r w:rsidRPr="003D3885">
              <w:rPr>
                <w:rFonts w:ascii="Calibri" w:hAnsi="Calibri" w:cs="Calibri"/>
                <w:bCs w:val="0"/>
                <w:color w:val="262626"/>
                <w:sz w:val="24"/>
                <w:szCs w:val="24"/>
              </w:rPr>
              <w:t>Udział procentowy w powierzchni Gminy</w:t>
            </w:r>
          </w:p>
        </w:tc>
        <w:tc>
          <w:tcPr>
            <w:tcW w:w="2500" w:type="pct"/>
          </w:tcPr>
          <w:p w:rsidR="00CD5CA2" w:rsidRPr="005A7820" w:rsidRDefault="00CD5CA2" w:rsidP="00F11B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262626"/>
                <w:sz w:val="24"/>
                <w:szCs w:val="24"/>
              </w:rPr>
            </w:pPr>
            <w:r w:rsidRPr="005A7820">
              <w:rPr>
                <w:rFonts w:ascii="Calibri" w:hAnsi="Calibri" w:cs="Calibri"/>
                <w:b/>
                <w:bCs/>
                <w:color w:val="262626"/>
                <w:sz w:val="24"/>
                <w:szCs w:val="24"/>
              </w:rPr>
              <w:t>Udział procentowy w liczbie mieszkańców Gminy</w:t>
            </w:r>
          </w:p>
        </w:tc>
      </w:tr>
      <w:tr w:rsidR="00CD5CA2" w:rsidTr="00F11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:rsidR="00CD5CA2" w:rsidRPr="003D3885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</w:rPr>
              <w:t>10,75</w:t>
            </w:r>
            <w:r w:rsidRPr="003D3885">
              <w:rPr>
                <w:rFonts w:ascii="Calibri" w:hAnsi="Calibri" w:cs="Calibri"/>
                <w:b w:val="0"/>
                <w:bCs w:val="0"/>
                <w:color w:val="262626"/>
                <w:sz w:val="24"/>
                <w:szCs w:val="24"/>
              </w:rPr>
              <w:t xml:space="preserve"> %</w:t>
            </w:r>
          </w:p>
        </w:tc>
        <w:tc>
          <w:tcPr>
            <w:tcW w:w="0" w:type="pct"/>
          </w:tcPr>
          <w:p w:rsidR="00CD5CA2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262626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262626"/>
                <w:sz w:val="24"/>
                <w:szCs w:val="24"/>
              </w:rPr>
              <w:t>13,09%</w:t>
            </w:r>
          </w:p>
        </w:tc>
      </w:tr>
    </w:tbl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  <w:sectPr w:rsidR="00CD5CA2" w:rsidSect="008D1DA6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D5CA2" w:rsidRDefault="00CD5CA2" w:rsidP="00CD5CA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4F3E6B73" wp14:editId="28AD0B06">
            <wp:extent cx="7679055" cy="5759450"/>
            <wp:effectExtent l="0" t="0" r="0" b="0"/>
            <wp:docPr id="16" name="Obraz 16" descr="Obraz zawierający tekst, mapa&#10;&#10;Opis wygenerowany przy bardzo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C9C68" wp14:editId="5A58F03C">
                <wp:simplePos x="0" y="0"/>
                <wp:positionH relativeFrom="column">
                  <wp:posOffset>-394970</wp:posOffset>
                </wp:positionH>
                <wp:positionV relativeFrom="paragraph">
                  <wp:posOffset>277495</wp:posOffset>
                </wp:positionV>
                <wp:extent cx="3956050" cy="655955"/>
                <wp:effectExtent l="5715" t="7620" r="10160" b="12700"/>
                <wp:wrapNone/>
                <wp:docPr id="1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CA2" w:rsidRDefault="00CD5CA2" w:rsidP="00CD5CA2">
                            <w:pPr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D5CA2" w:rsidRPr="00C03454" w:rsidRDefault="00CD5CA2" w:rsidP="00CD5CA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C0345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Obszar zdegradowany w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C0345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minie 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C9C68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-31.1pt;margin-top:21.85pt;width:311.5pt;height:51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">
                <v:textbox style="mso-fit-shape-to-text:t">
                  <w:txbxContent>
                    <w:p w:rsidR="00CD5CA2" w:rsidRDefault="00CD5CA2" w:rsidP="00CD5CA2">
                      <w:pPr>
                        <w:contextualSpacing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CD5CA2" w:rsidRPr="00C03454" w:rsidRDefault="00CD5CA2" w:rsidP="00CD5CA2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C0345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Obszar zdegradowany w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g</w:t>
                      </w:r>
                      <w:r w:rsidRPr="00C0345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minie 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CD5CA2" w:rsidRDefault="00CD5CA2" w:rsidP="00CD5CA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  <w:sectPr w:rsidR="00CD5CA2" w:rsidSect="008A3EE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D5CA2" w:rsidRPr="00F92905" w:rsidRDefault="00CD5CA2" w:rsidP="00CD5CA2">
      <w:pPr>
        <w:pStyle w:val="Nagwek1"/>
        <w:ind w:left="567"/>
        <w:rPr>
          <w:rFonts w:ascii="Calibri" w:hAnsi="Calibri" w:cs="Calibri"/>
          <w:sz w:val="21"/>
          <w:szCs w:val="21"/>
        </w:rPr>
      </w:pPr>
      <w:bookmarkStart w:id="7" w:name="_Toc506455411"/>
      <w:r w:rsidRPr="00F92905">
        <w:rPr>
          <w:rFonts w:ascii="Calibri" w:hAnsi="Calibri" w:cs="Calibri"/>
        </w:rPr>
        <w:lastRenderedPageBreak/>
        <w:t>Rozdział 4. Obszar rewitalizacji gminy</w:t>
      </w:r>
      <w:r>
        <w:rPr>
          <w:rFonts w:ascii="Calibri" w:hAnsi="Calibri" w:cs="Calibri"/>
        </w:rPr>
        <w:t xml:space="preserve"> Aleksandrów Kujawski</w:t>
      </w:r>
      <w:bookmarkEnd w:id="7"/>
    </w:p>
    <w:p w:rsidR="00CD5CA2" w:rsidRPr="00F92905" w:rsidRDefault="00CD5CA2" w:rsidP="00CD5C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CD5CA2" w:rsidRPr="00F87EA8" w:rsidRDefault="00CD5CA2" w:rsidP="00CD5CA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87EA8">
        <w:rPr>
          <w:rFonts w:ascii="Calibri" w:hAnsi="Calibri" w:cs="Calibri"/>
          <w:bCs/>
          <w:color w:val="262626"/>
          <w:sz w:val="24"/>
          <w:szCs w:val="24"/>
        </w:rPr>
        <w:t xml:space="preserve">Obszar zdegradowany, wyznaczony w rozdziale 3 przekracza 20% powierzchni Gminy </w:t>
      </w:r>
      <w:r w:rsidRPr="00F87EA8">
        <w:rPr>
          <w:rFonts w:ascii="Calibri" w:hAnsi="Calibri" w:cs="Calibri"/>
          <w:bCs/>
          <w:color w:val="262626"/>
          <w:sz w:val="24"/>
          <w:szCs w:val="24"/>
        </w:rPr>
        <w:br/>
        <w:t xml:space="preserve">oraz 30% ludności Gminy i zgodnie z </w:t>
      </w:r>
      <w:r w:rsidRPr="00F87EA8">
        <w:rPr>
          <w:rFonts w:ascii="Calibri" w:hAnsi="Calibri" w:cs="Calibri"/>
          <w:bCs/>
          <w:i/>
          <w:color w:val="262626"/>
          <w:sz w:val="24"/>
          <w:szCs w:val="24"/>
        </w:rPr>
        <w:t>Wytycznymi w zakresie rewitalizacji w programach operacyjnych na lata 2014-2020</w:t>
      </w:r>
      <w:r w:rsidRPr="00F87EA8">
        <w:rPr>
          <w:rFonts w:ascii="Calibri" w:hAnsi="Calibri" w:cs="Calibri"/>
          <w:bCs/>
          <w:color w:val="262626"/>
          <w:sz w:val="24"/>
          <w:szCs w:val="24"/>
        </w:rPr>
        <w:t xml:space="preserve"> - przygotowanymi przez Ministra Rozwoju z 2 sierpnia 2016 r., nie może zostać w całości uznany za obszar rewitalizacji.  W związku z powyższym przystąpiono do wyznaczenia obszaru rewitalizacji poprzez określenie w pierwszej kolejności celu rewitalizacji.</w:t>
      </w:r>
    </w:p>
    <w:p w:rsidR="00CD5CA2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87EA8">
        <w:rPr>
          <w:rFonts w:ascii="Calibri" w:hAnsi="Calibri" w:cs="Calibri"/>
          <w:bCs/>
          <w:color w:val="262626"/>
          <w:sz w:val="24"/>
          <w:szCs w:val="24"/>
        </w:rPr>
        <w:t>Cele rewitalizacji Lokalnego Programu Rewitalizacji dla Gminy Aleksandrów Kujawski do roku 2025</w:t>
      </w:r>
      <w:r>
        <w:rPr>
          <w:rFonts w:ascii="Calibri" w:hAnsi="Calibri" w:cs="Calibri"/>
          <w:bCs/>
          <w:color w:val="262626"/>
          <w:sz w:val="24"/>
          <w:szCs w:val="24"/>
        </w:rPr>
        <w:t xml:space="preserve"> dla miejscowości:</w:t>
      </w:r>
    </w:p>
    <w:p w:rsidR="00CD5CA2" w:rsidRPr="00F11BD7" w:rsidRDefault="00CD5CA2" w:rsidP="002673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11BD7">
        <w:rPr>
          <w:rFonts w:ascii="Calibri" w:hAnsi="Calibri" w:cs="Calibri"/>
          <w:bCs/>
          <w:color w:val="262626"/>
          <w:sz w:val="24"/>
          <w:szCs w:val="24"/>
        </w:rPr>
        <w:t>Plebanka i Zduny:</w:t>
      </w: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bookmarkStart w:id="8" w:name="_Hlk514669260"/>
      <w:r w:rsidRPr="00F87EA8">
        <w:rPr>
          <w:rFonts w:ascii="Calibri" w:hAnsi="Calibri" w:cs="Calibri"/>
          <w:bCs/>
          <w:noProof/>
          <w:color w:val="262626"/>
          <w:sz w:val="24"/>
          <w:szCs w:val="24"/>
        </w:rPr>
        <w:drawing>
          <wp:inline distT="0" distB="0" distL="0" distR="0" wp14:anchorId="21051F51" wp14:editId="5C8F2105">
            <wp:extent cx="5486400" cy="3200400"/>
            <wp:effectExtent l="19050" t="0" r="3810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D5CA2" w:rsidRPr="00953DD6" w:rsidRDefault="00CD5CA2" w:rsidP="00CD5CA2">
      <w:pPr>
        <w:spacing w:line="360" w:lineRule="auto"/>
        <w:jc w:val="both"/>
        <w:rPr>
          <w:rFonts w:ascii="Calibri" w:hAnsi="Calibri" w:cs="Calibri"/>
          <w:sz w:val="24"/>
        </w:rPr>
      </w:pPr>
      <w:r w:rsidRPr="00953DD6">
        <w:rPr>
          <w:rFonts w:ascii="Calibri" w:hAnsi="Calibri" w:cs="Calibri"/>
          <w:sz w:val="24"/>
        </w:rPr>
        <w:t>Cel został wybrany w oparciu o niżej wymienione wymagania:</w:t>
      </w:r>
    </w:p>
    <w:p w:rsidR="00CD5CA2" w:rsidRPr="00953DD6" w:rsidRDefault="00CD5CA2" w:rsidP="0026737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</w:rPr>
      </w:pPr>
      <w:r w:rsidRPr="00953DD6">
        <w:rPr>
          <w:rFonts w:ascii="Calibri" w:hAnsi="Calibri" w:cs="Calibri"/>
          <w:sz w:val="24"/>
        </w:rPr>
        <w:t>Występowanie przestrzeni zdegradowanej, która może być zaadaptowana do celów rozwoju społecznego;</w:t>
      </w:r>
    </w:p>
    <w:p w:rsidR="00CD5CA2" w:rsidRPr="00953DD6" w:rsidRDefault="00CD5CA2" w:rsidP="0026737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53DD6">
        <w:rPr>
          <w:rFonts w:ascii="Calibri" w:hAnsi="Calibri" w:cs="Calibri"/>
          <w:sz w:val="24"/>
          <w:szCs w:val="24"/>
        </w:rPr>
        <w:t>Na terenie miejscowości i w odległości 1,5km od zwyczajowo przyjętego centralnego punktu miejscowości, liczonej wzdłuż dróg publicznych i publicznych ciągów pieszych i pieszo-jezdnych brak publicznej infrastruktury aktywizacji społecznej, chyba że uzasadniona i planowana interwencja zakłada utworzenie infrastruktury:</w:t>
      </w:r>
    </w:p>
    <w:p w:rsidR="00CD5CA2" w:rsidRPr="00953DD6" w:rsidRDefault="00CD5CA2" w:rsidP="00CD5CA2">
      <w:pPr>
        <w:pStyle w:val="Akapitzlist"/>
        <w:spacing w:after="0" w:line="360" w:lineRule="auto"/>
        <w:ind w:left="1416"/>
        <w:jc w:val="both"/>
        <w:rPr>
          <w:rFonts w:ascii="Calibri" w:hAnsi="Calibri" w:cs="Calibri"/>
          <w:sz w:val="24"/>
          <w:szCs w:val="24"/>
        </w:rPr>
      </w:pPr>
      <w:r w:rsidRPr="00953DD6">
        <w:rPr>
          <w:rFonts w:ascii="Calibri" w:hAnsi="Calibri" w:cs="Calibri"/>
          <w:sz w:val="24"/>
          <w:szCs w:val="24"/>
        </w:rPr>
        <w:t>-   komplementarnej wobec już istniejącej lub</w:t>
      </w:r>
    </w:p>
    <w:p w:rsidR="00CD5CA2" w:rsidRPr="00953DD6" w:rsidRDefault="00CD5CA2" w:rsidP="00CD5CA2">
      <w:pPr>
        <w:pStyle w:val="Akapitzlist"/>
        <w:spacing w:after="0" w:line="360" w:lineRule="auto"/>
        <w:ind w:left="1416"/>
        <w:jc w:val="both"/>
        <w:rPr>
          <w:rFonts w:ascii="Calibri" w:hAnsi="Calibri" w:cs="Calibri"/>
          <w:sz w:val="24"/>
          <w:szCs w:val="24"/>
        </w:rPr>
      </w:pPr>
      <w:r w:rsidRPr="00953DD6">
        <w:rPr>
          <w:rFonts w:ascii="Calibri" w:hAnsi="Calibri" w:cs="Calibri"/>
          <w:sz w:val="24"/>
          <w:szCs w:val="24"/>
        </w:rPr>
        <w:t>- bezpośrednio rozszerzającej (poprzez adaptację istniejących budynków) możliwości lokalowe infrastruktury już istniejącej lub</w:t>
      </w:r>
    </w:p>
    <w:p w:rsidR="00CD5CA2" w:rsidRPr="00953DD6" w:rsidRDefault="00CD5CA2" w:rsidP="00CD5CA2">
      <w:pPr>
        <w:pStyle w:val="Akapitzlist"/>
        <w:spacing w:after="0" w:line="360" w:lineRule="auto"/>
        <w:ind w:left="1416"/>
        <w:jc w:val="both"/>
        <w:rPr>
          <w:rFonts w:ascii="Calibri" w:hAnsi="Calibri" w:cs="Calibri"/>
          <w:sz w:val="24"/>
          <w:szCs w:val="24"/>
        </w:rPr>
      </w:pPr>
      <w:r w:rsidRPr="00953DD6">
        <w:rPr>
          <w:rFonts w:ascii="Calibri" w:hAnsi="Calibri" w:cs="Calibri"/>
          <w:sz w:val="24"/>
          <w:szCs w:val="24"/>
        </w:rPr>
        <w:lastRenderedPageBreak/>
        <w:t>-   utworzenie infrastruktury należącej do tej samej kategorii oraz umożlwiającej zadań/aktywności tego samego rodzaju, jeśli zapotrzebowanie społeczne przekracza możliwości infrastruktury już istniejącej lub</w:t>
      </w:r>
    </w:p>
    <w:p w:rsidR="00CD5CA2" w:rsidRDefault="00CD5CA2" w:rsidP="00CD5CA2">
      <w:pPr>
        <w:pStyle w:val="Akapitzlist"/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53DD6">
        <w:rPr>
          <w:rFonts w:ascii="Calibri" w:hAnsi="Calibri" w:cs="Calibri"/>
          <w:sz w:val="24"/>
          <w:szCs w:val="24"/>
        </w:rPr>
        <w:t>- utworzenie infrastruktury zastępującej infrastrukturę tego samego rodzaju likwidowaną ze względu na stan wyeksploatowania, brak funkcjonalności, niespełnienie warunków bezpieczeństwa,</w:t>
      </w:r>
      <w:r>
        <w:rPr>
          <w:rFonts w:ascii="Calibri" w:hAnsi="Calibri" w:cs="Calibri"/>
          <w:sz w:val="24"/>
          <w:szCs w:val="24"/>
        </w:rPr>
        <w:t xml:space="preserve"> </w:t>
      </w:r>
      <w:r w:rsidRPr="00953DD6">
        <w:rPr>
          <w:rFonts w:ascii="Calibri" w:hAnsi="Calibri" w:cs="Calibri"/>
          <w:sz w:val="24"/>
          <w:szCs w:val="24"/>
        </w:rPr>
        <w:t>to nie jest konieczne spełnienie wspomnianego warunku odległości 1,5 km.</w:t>
      </w:r>
      <w:r w:rsidRPr="00BD788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:rsidR="00CD5CA2" w:rsidRDefault="00CD5CA2" w:rsidP="002673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11BD7">
        <w:rPr>
          <w:rFonts w:ascii="Calibri" w:hAnsi="Calibri" w:cs="Calibri"/>
          <w:sz w:val="24"/>
          <w:szCs w:val="24"/>
        </w:rPr>
        <w:t>Służewo</w:t>
      </w: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bCs/>
          <w:color w:val="262626"/>
          <w:sz w:val="24"/>
          <w:szCs w:val="24"/>
        </w:rPr>
      </w:pPr>
      <w:r w:rsidRPr="00F87EA8">
        <w:rPr>
          <w:rFonts w:ascii="Calibri" w:hAnsi="Calibri" w:cs="Calibri"/>
          <w:bCs/>
          <w:noProof/>
          <w:color w:val="262626"/>
          <w:sz w:val="24"/>
          <w:szCs w:val="24"/>
        </w:rPr>
        <w:drawing>
          <wp:inline distT="0" distB="0" distL="0" distR="0" wp14:anchorId="79F2984D" wp14:editId="6AC9B9DB">
            <wp:extent cx="5486400" cy="3200400"/>
            <wp:effectExtent l="0" t="0" r="1905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D5CA2" w:rsidRPr="00953DD6" w:rsidRDefault="00CD5CA2" w:rsidP="00CD5CA2">
      <w:pPr>
        <w:jc w:val="both"/>
        <w:rPr>
          <w:rFonts w:ascii="Calibri" w:hAnsi="Calibri" w:cs="Calibri"/>
          <w:sz w:val="24"/>
        </w:rPr>
      </w:pPr>
      <w:r w:rsidRPr="00953DD6">
        <w:rPr>
          <w:rFonts w:ascii="Calibri" w:hAnsi="Calibri" w:cs="Calibri"/>
          <w:sz w:val="24"/>
        </w:rPr>
        <w:t>Cel został wybrany w oparciu o niżej wymienione wymagania:</w:t>
      </w:r>
    </w:p>
    <w:p w:rsidR="00CD5CA2" w:rsidRPr="00C42C24" w:rsidRDefault="00CD5CA2" w:rsidP="0026737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42C24">
        <w:rPr>
          <w:rFonts w:ascii="Calibri" w:hAnsi="Calibri" w:cs="Calibri"/>
          <w:sz w:val="24"/>
          <w:szCs w:val="24"/>
        </w:rPr>
        <w:t>miejscowość należy do rejonu obsługi szkoły podstawowej lub gimnazjum o niskim</w:t>
      </w:r>
    </w:p>
    <w:p w:rsidR="00CD5CA2" w:rsidRDefault="00CD5CA2" w:rsidP="00CD5CA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2C24">
        <w:rPr>
          <w:rFonts w:ascii="Calibri" w:hAnsi="Calibri" w:cs="Calibri"/>
          <w:sz w:val="24"/>
          <w:szCs w:val="24"/>
        </w:rPr>
        <w:t>poziomie kształcenia (wg kryterium szczegółowego),</w:t>
      </w:r>
    </w:p>
    <w:p w:rsidR="00CD5CA2" w:rsidRPr="00C42C24" w:rsidRDefault="00CD5CA2" w:rsidP="0026737E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2C24">
        <w:rPr>
          <w:rFonts w:ascii="Calibri" w:hAnsi="Calibri" w:cs="Calibri"/>
          <w:sz w:val="24"/>
          <w:szCs w:val="24"/>
        </w:rPr>
        <w:t>lokalny samorząd może wykazać udokumentowane zainteresowanie prowadzeniem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C42C24">
        <w:rPr>
          <w:rFonts w:ascii="Calibri" w:hAnsi="Calibri" w:cs="Calibri"/>
          <w:sz w:val="24"/>
          <w:szCs w:val="24"/>
        </w:rPr>
        <w:t xml:space="preserve">zajęć aktywizujących (np. przez sektor </w:t>
      </w:r>
      <w:proofErr w:type="spellStart"/>
      <w:r w:rsidRPr="00C42C24">
        <w:rPr>
          <w:rFonts w:ascii="Calibri" w:hAnsi="Calibri" w:cs="Calibri"/>
          <w:sz w:val="24"/>
          <w:szCs w:val="24"/>
        </w:rPr>
        <w:t>ngo</w:t>
      </w:r>
      <w:proofErr w:type="spellEnd"/>
      <w:r w:rsidRPr="00C42C2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CD5CA2" w:rsidRPr="00F11BD7" w:rsidRDefault="00CD5CA2" w:rsidP="00CD5CA2">
      <w:pPr>
        <w:spacing w:after="0" w:line="360" w:lineRule="auto"/>
        <w:ind w:left="420"/>
        <w:jc w:val="both"/>
        <w:rPr>
          <w:rFonts w:ascii="Calibri" w:hAnsi="Calibri" w:cs="Calibri"/>
          <w:sz w:val="24"/>
          <w:szCs w:val="24"/>
        </w:rPr>
      </w:pP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 xml:space="preserve">Po przeanalizowaniu wyników z przeprowadzonych analiz obecnej sytuacji w gminie, oczekiwań i potrzeb lokalnej społeczności wyodrębniono na terenie </w:t>
      </w:r>
      <w:r>
        <w:rPr>
          <w:rFonts w:ascii="Calibri" w:eastAsia="Times New Roman" w:hAnsi="Calibri" w:cs="Calibri"/>
          <w:sz w:val="24"/>
          <w:szCs w:val="24"/>
        </w:rPr>
        <w:t>g</w:t>
      </w:r>
      <w:r w:rsidRPr="00F87EA8">
        <w:rPr>
          <w:rFonts w:ascii="Calibri" w:eastAsia="Times New Roman" w:hAnsi="Calibri" w:cs="Calibri"/>
          <w:sz w:val="24"/>
          <w:szCs w:val="24"/>
        </w:rPr>
        <w:t xml:space="preserve">miny Aleksandrów Kujawski </w:t>
      </w:r>
      <w:r w:rsidRPr="00F87EA8">
        <w:rPr>
          <w:rFonts w:ascii="Calibri" w:eastAsia="Times New Roman" w:hAnsi="Calibri" w:cs="Calibri"/>
          <w:b/>
          <w:sz w:val="24"/>
          <w:szCs w:val="24"/>
        </w:rPr>
        <w:t xml:space="preserve">obszar zdegradowany wybrany do rewitalizacji </w:t>
      </w:r>
      <w:r w:rsidRPr="00F87EA8">
        <w:rPr>
          <w:rFonts w:ascii="Calibri" w:eastAsia="Times New Roman" w:hAnsi="Calibri" w:cs="Calibri"/>
          <w:sz w:val="24"/>
          <w:szCs w:val="24"/>
        </w:rPr>
        <w:t>(są to</w:t>
      </w:r>
      <w:r w:rsidRPr="00F87EA8">
        <w:rPr>
          <w:rFonts w:ascii="Calibri" w:eastAsia="Times New Roman" w:hAnsi="Calibri" w:cs="Calibri"/>
          <w:b/>
          <w:sz w:val="24"/>
          <w:szCs w:val="24"/>
        </w:rPr>
        <w:t xml:space="preserve"> miejscowości: Zduny, Służewo i Plebanka </w:t>
      </w:r>
      <w:r w:rsidRPr="00F87EA8">
        <w:rPr>
          <w:rFonts w:ascii="Calibri" w:eastAsia="Times New Roman" w:hAnsi="Calibri" w:cs="Calibri"/>
          <w:sz w:val="24"/>
          <w:szCs w:val="24"/>
        </w:rPr>
        <w:t xml:space="preserve">– </w:t>
      </w:r>
      <w:r w:rsidRPr="003901FD">
        <w:rPr>
          <w:rFonts w:ascii="Calibri" w:eastAsia="Times New Roman" w:hAnsi="Calibri" w:cs="Calibri"/>
          <w:sz w:val="24"/>
          <w:szCs w:val="24"/>
        </w:rPr>
        <w:t xml:space="preserve">miejscowości te łącznie zajmują </w:t>
      </w:r>
      <w:r w:rsidRPr="00953DD6">
        <w:rPr>
          <w:rFonts w:ascii="Calibri" w:eastAsia="Times New Roman" w:hAnsi="Calibri" w:cs="Calibri"/>
          <w:sz w:val="24"/>
          <w:szCs w:val="24"/>
        </w:rPr>
        <w:t>10,75</w:t>
      </w:r>
      <w:r w:rsidRPr="003901FD">
        <w:rPr>
          <w:rFonts w:ascii="Calibri" w:eastAsia="Times New Roman" w:hAnsi="Calibri" w:cs="Calibri"/>
          <w:sz w:val="24"/>
          <w:szCs w:val="24"/>
        </w:rPr>
        <w:t>% powierzchni gminy i obejmują 13,</w:t>
      </w:r>
      <w:r w:rsidRPr="00953DD6">
        <w:rPr>
          <w:rFonts w:ascii="Calibri" w:eastAsia="Times New Roman" w:hAnsi="Calibri" w:cs="Calibri"/>
          <w:sz w:val="24"/>
          <w:szCs w:val="24"/>
        </w:rPr>
        <w:t>09</w:t>
      </w:r>
      <w:r w:rsidRPr="003901FD">
        <w:rPr>
          <w:rFonts w:ascii="Calibri" w:eastAsia="Times New Roman" w:hAnsi="Calibri" w:cs="Calibri"/>
          <w:sz w:val="24"/>
          <w:szCs w:val="24"/>
        </w:rPr>
        <w:t xml:space="preserve"> % mieszkańców gminy - stan na 08.03.2016 r.).</w:t>
      </w:r>
    </w:p>
    <w:p w:rsidR="00CD5CA2" w:rsidRPr="00F87EA8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</w:rPr>
      </w:pPr>
    </w:p>
    <w:p w:rsidR="00CD5CA2" w:rsidRPr="00BD3F46" w:rsidRDefault="00CD5CA2" w:rsidP="00CD5CA2">
      <w:pPr>
        <w:spacing w:line="240" w:lineRule="auto"/>
        <w:rPr>
          <w:rFonts w:ascii="Calibri" w:hAnsi="Calibri" w:cs="Calibri"/>
          <w:bCs/>
          <w:color w:val="5B9BD5" w:themeColor="accent1"/>
          <w:sz w:val="24"/>
          <w:szCs w:val="18"/>
        </w:rPr>
      </w:pPr>
      <w:bookmarkStart w:id="9" w:name="_Toc506455197"/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t xml:space="preserve">Tabela </w:t>
      </w:r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fldChar w:fldCharType="begin"/>
      </w:r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instrText xml:space="preserve"> SEQ Tabela \* ARABIC </w:instrText>
      </w:r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fldChar w:fldCharType="separate"/>
      </w:r>
      <w:r w:rsidRPr="00BD3F46">
        <w:rPr>
          <w:rFonts w:ascii="Calibri" w:hAnsi="Calibri" w:cs="Calibri"/>
          <w:bCs/>
          <w:noProof/>
          <w:color w:val="5B9BD5" w:themeColor="accent1"/>
          <w:sz w:val="24"/>
          <w:szCs w:val="18"/>
        </w:rPr>
        <w:t>11</w:t>
      </w:r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fldChar w:fldCharType="end"/>
      </w:r>
      <w:r w:rsidRPr="00BD3F46">
        <w:rPr>
          <w:rFonts w:ascii="Calibri" w:hAnsi="Calibri" w:cs="Calibri"/>
          <w:bCs/>
          <w:color w:val="5B9BD5" w:themeColor="accent1"/>
          <w:sz w:val="24"/>
          <w:szCs w:val="18"/>
        </w:rPr>
        <w:t>. Powierzchnia oraz ludność miejscowości wybranych do obszaru rewitalizacji.</w:t>
      </w:r>
      <w:bookmarkEnd w:id="9"/>
    </w:p>
    <w:tbl>
      <w:tblPr>
        <w:tblStyle w:val="Jasnasiatkaakcent111"/>
        <w:tblW w:w="5000" w:type="pct"/>
        <w:jc w:val="center"/>
        <w:tblLook w:val="04A0" w:firstRow="1" w:lastRow="0" w:firstColumn="1" w:lastColumn="0" w:noHBand="0" w:noVBand="1"/>
      </w:tblPr>
      <w:tblGrid>
        <w:gridCol w:w="2765"/>
        <w:gridCol w:w="1541"/>
        <w:gridCol w:w="1647"/>
        <w:gridCol w:w="1772"/>
        <w:gridCol w:w="1327"/>
      </w:tblGrid>
      <w:tr w:rsidR="00CD5CA2" w:rsidRPr="00F87EA8" w:rsidTr="00F1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851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Zduny</w:t>
            </w:r>
          </w:p>
        </w:tc>
        <w:tc>
          <w:tcPr>
            <w:tcW w:w="910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Służewo</w:t>
            </w:r>
          </w:p>
        </w:tc>
        <w:tc>
          <w:tcPr>
            <w:tcW w:w="979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Plebanka</w:t>
            </w:r>
          </w:p>
        </w:tc>
        <w:tc>
          <w:tcPr>
            <w:tcW w:w="733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RAZEM</w:t>
            </w:r>
          </w:p>
        </w:tc>
      </w:tr>
      <w:tr w:rsidR="00CD5CA2" w:rsidRPr="00F87EA8" w:rsidTr="00F11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Powierzchnia miejscowości</w:t>
            </w:r>
          </w:p>
        </w:tc>
        <w:tc>
          <w:tcPr>
            <w:tcW w:w="851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3,45 km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10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7,71 km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9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3,24 km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33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 xml:space="preserve"> km</w:t>
            </w:r>
            <w:r w:rsidRPr="00F87EA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CD5CA2" w:rsidRPr="00F87EA8" w:rsidTr="00F11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% powierzchni gminy</w:t>
            </w:r>
          </w:p>
        </w:tc>
        <w:tc>
          <w:tcPr>
            <w:tcW w:w="851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2,58</w:t>
            </w:r>
          </w:p>
        </w:tc>
        <w:tc>
          <w:tcPr>
            <w:tcW w:w="910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5,75</w:t>
            </w:r>
          </w:p>
        </w:tc>
        <w:tc>
          <w:tcPr>
            <w:tcW w:w="979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2,42</w:t>
            </w:r>
          </w:p>
        </w:tc>
        <w:tc>
          <w:tcPr>
            <w:tcW w:w="733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10,75</w:t>
            </w:r>
          </w:p>
        </w:tc>
      </w:tr>
      <w:tr w:rsidR="00CD5CA2" w:rsidRPr="00F87EA8" w:rsidTr="00F11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Liczba ludności</w:t>
            </w:r>
          </w:p>
        </w:tc>
        <w:tc>
          <w:tcPr>
            <w:tcW w:w="851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132</w:t>
            </w:r>
          </w:p>
        </w:tc>
        <w:tc>
          <w:tcPr>
            <w:tcW w:w="910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1213</w:t>
            </w:r>
          </w:p>
        </w:tc>
        <w:tc>
          <w:tcPr>
            <w:tcW w:w="979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251</w:t>
            </w:r>
          </w:p>
        </w:tc>
        <w:tc>
          <w:tcPr>
            <w:tcW w:w="733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596</w:t>
            </w:r>
          </w:p>
        </w:tc>
      </w:tr>
      <w:tr w:rsidR="00CD5CA2" w:rsidRPr="00F87EA8" w:rsidTr="00F11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% ludności ogółem w gminie</w:t>
            </w:r>
          </w:p>
        </w:tc>
        <w:tc>
          <w:tcPr>
            <w:tcW w:w="851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1,06</w:t>
            </w:r>
          </w:p>
        </w:tc>
        <w:tc>
          <w:tcPr>
            <w:tcW w:w="910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9,71</w:t>
            </w:r>
          </w:p>
        </w:tc>
        <w:tc>
          <w:tcPr>
            <w:tcW w:w="979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7EA8">
              <w:rPr>
                <w:rFonts w:ascii="Calibri" w:eastAsia="Times New Roman" w:hAnsi="Calibri" w:cs="Calibri"/>
                <w:sz w:val="24"/>
                <w:szCs w:val="24"/>
              </w:rPr>
              <w:t>2,01</w:t>
            </w:r>
          </w:p>
        </w:tc>
        <w:tc>
          <w:tcPr>
            <w:tcW w:w="733" w:type="pct"/>
          </w:tcPr>
          <w:p w:rsidR="00CD5CA2" w:rsidRPr="00F87EA8" w:rsidRDefault="00CD5CA2" w:rsidP="00F11BD7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13,09</w:t>
            </w:r>
          </w:p>
        </w:tc>
      </w:tr>
    </w:tbl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360"/>
        <w:jc w:val="center"/>
        <w:rPr>
          <w:rFonts w:ascii="Calibri" w:hAnsi="Calibri" w:cs="Calibri"/>
          <w:i/>
          <w:iCs/>
          <w:sz w:val="20"/>
          <w:szCs w:val="20"/>
        </w:rPr>
      </w:pPr>
      <w:r w:rsidRPr="00F87EA8">
        <w:rPr>
          <w:rFonts w:ascii="Calibri" w:hAnsi="Calibri" w:cs="Calibri"/>
          <w:i/>
          <w:iCs/>
          <w:sz w:val="20"/>
          <w:szCs w:val="20"/>
        </w:rPr>
        <w:t>Źródło: Opracowanie własne na podstawie analizy wskaźnikowej.</w:t>
      </w: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 xml:space="preserve">Obszar ten cechuje się szczególną koncentracją negatywnych zjawisk w sferze społecznej, ale także gospodarczej, technicznej, środowiskowej i przestrzenno-funkcjonalnej. W celu wiarygodnego ustalenia zjawisk kryzysowych, kwalifikujących ww. miejscowości </w:t>
      </w:r>
      <w:r w:rsidRPr="00F87EA8">
        <w:rPr>
          <w:rFonts w:ascii="Calibri" w:eastAsia="Times New Roman" w:hAnsi="Calibri" w:cs="Calibri"/>
          <w:sz w:val="24"/>
          <w:szCs w:val="24"/>
        </w:rPr>
        <w:br/>
        <w:t>do uznania za obszar rewitalizacji, przeprowadzono analizę ich sytuacji poprzez wykorzystanie następujących metod badawczych:</w:t>
      </w:r>
    </w:p>
    <w:p w:rsidR="00CD5CA2" w:rsidRPr="00F87EA8" w:rsidRDefault="00CD5CA2" w:rsidP="0026737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>analiza źródeł wtórnych – analiza aktualnych baz danych, w tym wewnętrznych (posiadanych w gminie) i zewnętrznych (np. PUP, GOPS), dotyczących wybranych problemów z ww. 5 sfer. Na bazie tych danych przeprowadzono analizę wskaźnikową (sugerując się zapisami publikacji „Zasady programowania przedsięwzięć rewitalizacyjnych w celu ubiegania się o środki finansowe w ramach Regionalnego Programu Operacyjnego Województwa Kujawsko-Pomorskiego”),</w:t>
      </w:r>
    </w:p>
    <w:p w:rsidR="00CD5CA2" w:rsidRPr="00F87EA8" w:rsidRDefault="00CD5CA2" w:rsidP="0026737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>analiza źródeł pierwotnych:</w:t>
      </w:r>
    </w:p>
    <w:p w:rsidR="00CD5CA2" w:rsidRPr="00F87EA8" w:rsidRDefault="00CD5CA2" w:rsidP="0026737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 xml:space="preserve">wywiady z pracownikami urzędu gminy odpowiedzialnymi za aktywność gminy </w:t>
      </w:r>
      <w:r w:rsidRPr="00F87EA8">
        <w:rPr>
          <w:rFonts w:ascii="Calibri" w:eastAsia="Times New Roman" w:hAnsi="Calibri" w:cs="Calibri"/>
          <w:sz w:val="24"/>
          <w:szCs w:val="24"/>
        </w:rPr>
        <w:br/>
        <w:t>w zakresie 5 ww. sfer, a szczególnie społecznej,</w:t>
      </w:r>
    </w:p>
    <w:p w:rsidR="00CD5CA2" w:rsidRPr="00F87EA8" w:rsidRDefault="00CD5CA2" w:rsidP="0026737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>wywiady z pracownikami GOPS,</w:t>
      </w:r>
    </w:p>
    <w:p w:rsidR="00CD5CA2" w:rsidRPr="00F87EA8" w:rsidRDefault="00CD5CA2" w:rsidP="0026737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F87EA8">
        <w:rPr>
          <w:rFonts w:ascii="Calibri" w:eastAsia="Times New Roman" w:hAnsi="Calibri" w:cs="Calibri"/>
          <w:sz w:val="24"/>
          <w:szCs w:val="24"/>
        </w:rPr>
        <w:t>wywiady z klientami GOPS (mieszkańcami gminy), a także z przedstawicielami sektora przedsiębiorstw i NGO w gminie.</w:t>
      </w:r>
    </w:p>
    <w:p w:rsidR="00CD5CA2" w:rsidRPr="00831AE7" w:rsidRDefault="00CD5CA2" w:rsidP="00CD5CA2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 xml:space="preserve">Na bazie ww. pomiarów zidentyfikowano główne zjawiska kryzysowe na tym obszarze: </w:t>
      </w:r>
    </w:p>
    <w:p w:rsidR="00CD5CA2" w:rsidRPr="00831AE7" w:rsidRDefault="00CD5CA2" w:rsidP="0026737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społeczne:</w:t>
      </w:r>
    </w:p>
    <w:p w:rsidR="00CD5CA2" w:rsidRPr="00831AE7" w:rsidRDefault="00CD5CA2" w:rsidP="0026737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duża liczba osób korzystających z pomocy społecznej,</w:t>
      </w:r>
    </w:p>
    <w:p w:rsidR="00CD5CA2" w:rsidRPr="00831AE7" w:rsidRDefault="00CD5CA2" w:rsidP="0026737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brak form opieki nad dziećmi do lat 3,</w:t>
      </w:r>
    </w:p>
    <w:p w:rsidR="00CD5CA2" w:rsidRPr="00831AE7" w:rsidRDefault="00CD5CA2" w:rsidP="0026737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 xml:space="preserve">brak infrastruktury pomocowej (dzienne domy pobytu, jadłodajnie, noclegownie, świetlice wsparcia dzieci i młodzieży itp.), w tym dla osób starszych </w:t>
      </w:r>
      <w:r w:rsidRPr="00831AE7">
        <w:rPr>
          <w:rFonts w:ascii="Calibri" w:eastAsia="Times New Roman" w:hAnsi="Calibri" w:cs="Calibri"/>
          <w:sz w:val="24"/>
          <w:szCs w:val="24"/>
        </w:rPr>
        <w:br/>
        <w:t>i niepełnosprawnych,</w:t>
      </w:r>
    </w:p>
    <w:p w:rsidR="00CD5CA2" w:rsidRPr="00831AE7" w:rsidRDefault="00CD5CA2" w:rsidP="0026737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bezrobocie, ubóstwo, uzależnienia,</w:t>
      </w:r>
    </w:p>
    <w:p w:rsidR="00CD5CA2" w:rsidRPr="00831AE7" w:rsidRDefault="00CD5CA2" w:rsidP="0026737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 xml:space="preserve">niski poziom edukacji w szkole podstawowej i gimnazjum (dotyczy to głównie miejscowości Zduny i Służewo, należących do terenu podlegającego pod Zespół Szkół im. Tadeusza Kościuszki w Służewie, gdzie w latach 2014-2015 realizowany </w:t>
      </w:r>
      <w:r w:rsidRPr="00831AE7">
        <w:rPr>
          <w:rFonts w:ascii="Calibri" w:eastAsia="Times New Roman" w:hAnsi="Calibri" w:cs="Calibri"/>
          <w:sz w:val="24"/>
          <w:szCs w:val="24"/>
        </w:rPr>
        <w:br/>
        <w:t>był program naprawczy kuratorium oświaty).</w:t>
      </w:r>
    </w:p>
    <w:p w:rsidR="00CD5CA2" w:rsidRPr="00831AE7" w:rsidRDefault="00CD5CA2" w:rsidP="0026737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gospodarcze:</w:t>
      </w:r>
    </w:p>
    <w:p w:rsidR="00CD5CA2" w:rsidRPr="00831AE7" w:rsidRDefault="00CD5CA2" w:rsidP="0026737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 xml:space="preserve">słabe warunki dla rozwoju przedsiębiorczości, </w:t>
      </w:r>
    </w:p>
    <w:p w:rsidR="00CD5CA2" w:rsidRPr="00831AE7" w:rsidRDefault="00CD5CA2" w:rsidP="0026737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mało dozbrojonych gruntów pod inwestycje,</w:t>
      </w:r>
    </w:p>
    <w:p w:rsidR="00CD5CA2" w:rsidRPr="00831AE7" w:rsidRDefault="00CD5CA2" w:rsidP="0026737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mała liczba osób prowadzących i planujących otworzyć działalność gospodarczą.</w:t>
      </w:r>
    </w:p>
    <w:p w:rsidR="00CD5CA2" w:rsidRPr="00831AE7" w:rsidRDefault="00CD5CA2" w:rsidP="0026737E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lastRenderedPageBreak/>
        <w:t>techniczne, środowiskowe, przestrzenno-funkcjonalne: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 xml:space="preserve">słabo rozwinięta baza lokalowa dla kultury i wzrostu aktywności mieszkańców, 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niedofinansowanie obiektów zabytkowych (parki, dwory, itp.),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niedostatecznie rozwinięta sieć kanalizacyjna,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brak sieci gazowej na terenie gminy,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zła jakość nawierzchni na wielu odcinkach dróg powiatowych i gminnych,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niedostateczna ilość chodników i ścieżek rowerowych,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mała ilość odnawialnych źródeł energii,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ponad 90% gospodarstw jest na tradycyjne piece na paliwa stałe,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niewystarczający dostęp do szerokopasmowego Internetu na terenach rzadziej zaludnionych,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przestarzała, zaniedbana sieć melioracyjna i za mała ilość punktów retencji wody,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zagrożenie powodzią na terenach położonych wzdłuż Wisły,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mała ilość i zły stan techniczny mieszkań komunalnych oraz socjalnych,</w:t>
      </w:r>
    </w:p>
    <w:p w:rsidR="00CD5CA2" w:rsidRPr="00831AE7" w:rsidRDefault="00CD5CA2" w:rsidP="0026737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31AE7">
        <w:rPr>
          <w:rFonts w:ascii="Calibri" w:eastAsia="Times New Roman" w:hAnsi="Calibri" w:cs="Calibri"/>
          <w:sz w:val="24"/>
          <w:szCs w:val="24"/>
        </w:rPr>
        <w:t>zbyt duży obszar objęty formami ochrony przyrody (Natura 2000, obszary chronionego krajobrazu).</w:t>
      </w:r>
    </w:p>
    <w:p w:rsidR="00CD5CA2" w:rsidRPr="00F87EA8" w:rsidRDefault="00CD5CA2" w:rsidP="00CD5CA2">
      <w:pPr>
        <w:autoSpaceDE w:val="0"/>
        <w:autoSpaceDN w:val="0"/>
        <w:adjustRightInd w:val="0"/>
        <w:spacing w:after="0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A60AEB" w:rsidRDefault="00CD5CA2" w:rsidP="00CD5CA2">
      <w:pPr>
        <w:autoSpaceDE w:val="0"/>
        <w:autoSpaceDN w:val="0"/>
        <w:adjustRightInd w:val="0"/>
        <w:spacing w:after="0"/>
        <w:ind w:firstLine="567"/>
        <w:jc w:val="both"/>
      </w:pPr>
      <w:r w:rsidRPr="00F87EA8">
        <w:rPr>
          <w:rFonts w:ascii="Calibri" w:eastAsia="Times New Roman" w:hAnsi="Calibri" w:cs="Calibri"/>
          <w:sz w:val="24"/>
          <w:szCs w:val="24"/>
        </w:rPr>
        <w:t>Problemy wymieniane powyżej wykazują potrzebę stworzenia kompleksowego podejścia do kwestii trwałej rewitalizacji obszarów miejscowości poprzez działania inspirujące rozwój nowych funkcji obszarów problemowych oraz przywrócenie terenom zdegradowanym utraconych funkcji społeczno-gospodarczych.</w:t>
      </w:r>
      <w:bookmarkStart w:id="10" w:name="_GoBack"/>
      <w:bookmarkEnd w:id="10"/>
    </w:p>
    <w:sectPr w:rsidR="00A6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7E" w:rsidRDefault="0026737E" w:rsidP="00CD5CA2">
      <w:pPr>
        <w:spacing w:after="0" w:line="240" w:lineRule="auto"/>
      </w:pPr>
      <w:r>
        <w:separator/>
      </w:r>
    </w:p>
  </w:endnote>
  <w:endnote w:type="continuationSeparator" w:id="0">
    <w:p w:rsidR="0026737E" w:rsidRDefault="0026737E" w:rsidP="00CD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7E" w:rsidRDefault="0026737E" w:rsidP="00CD5CA2">
      <w:pPr>
        <w:spacing w:after="0" w:line="240" w:lineRule="auto"/>
      </w:pPr>
      <w:r>
        <w:separator/>
      </w:r>
    </w:p>
  </w:footnote>
  <w:footnote w:type="continuationSeparator" w:id="0">
    <w:p w:rsidR="0026737E" w:rsidRDefault="0026737E" w:rsidP="00CD5CA2">
      <w:pPr>
        <w:spacing w:after="0" w:line="240" w:lineRule="auto"/>
      </w:pPr>
      <w:r>
        <w:continuationSeparator/>
      </w:r>
    </w:p>
  </w:footnote>
  <w:footnote w:id="1">
    <w:p w:rsidR="00CD5CA2" w:rsidRDefault="00CD5CA2" w:rsidP="00CD5C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6329">
        <w:rPr>
          <w:rFonts w:ascii="Calibri" w:hAnsi="Calibri"/>
        </w:rPr>
        <w:t>Definicja opracowana na podstawie art. 9 ustawy o rewitalizacji i Wytycznych MIR</w:t>
      </w:r>
    </w:p>
  </w:footnote>
  <w:footnote w:id="2">
    <w:p w:rsidR="00CD5CA2" w:rsidRDefault="00CD5CA2" w:rsidP="00CD5C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378">
        <w:rPr>
          <w:rFonts w:ascii="Calibri" w:hAnsi="Calibri"/>
        </w:rPr>
        <w:t>Definicja opracowana na podstawie</w:t>
      </w:r>
      <w:r>
        <w:rPr>
          <w:rFonts w:ascii="Calibri" w:hAnsi="Calibri"/>
        </w:rPr>
        <w:t xml:space="preserve"> art. 9 ust. 1 ustawy o rewitalizacji i Wytycznych </w:t>
      </w:r>
      <w:proofErr w:type="spellStart"/>
      <w:r>
        <w:rPr>
          <w:rFonts w:ascii="Calibri" w:hAnsi="Calibri"/>
        </w:rPr>
        <w:t>MiR</w:t>
      </w:r>
      <w:proofErr w:type="spellEnd"/>
      <w:r>
        <w:rPr>
          <w:rFonts w:ascii="Calibri" w:hAnsi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B1D"/>
    <w:multiLevelType w:val="hybridMultilevel"/>
    <w:tmpl w:val="D188E7B6"/>
    <w:lvl w:ilvl="0" w:tplc="346C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12A7"/>
    <w:multiLevelType w:val="hybridMultilevel"/>
    <w:tmpl w:val="77765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6D5"/>
    <w:multiLevelType w:val="multilevel"/>
    <w:tmpl w:val="356CD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4CF"/>
    <w:multiLevelType w:val="hybridMultilevel"/>
    <w:tmpl w:val="197634F0"/>
    <w:lvl w:ilvl="0" w:tplc="346C6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741D1"/>
    <w:multiLevelType w:val="hybridMultilevel"/>
    <w:tmpl w:val="AF74A1A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99F36EE"/>
    <w:multiLevelType w:val="hybridMultilevel"/>
    <w:tmpl w:val="07361D98"/>
    <w:lvl w:ilvl="0" w:tplc="346C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4F48"/>
    <w:multiLevelType w:val="hybridMultilevel"/>
    <w:tmpl w:val="9C584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35CD"/>
    <w:multiLevelType w:val="hybridMultilevel"/>
    <w:tmpl w:val="68620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67CE"/>
    <w:multiLevelType w:val="hybridMultilevel"/>
    <w:tmpl w:val="86364F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41B56EE"/>
    <w:multiLevelType w:val="hybridMultilevel"/>
    <w:tmpl w:val="FDE252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41215"/>
    <w:multiLevelType w:val="hybridMultilevel"/>
    <w:tmpl w:val="A50E8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1A34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511D74"/>
    <w:multiLevelType w:val="hybridMultilevel"/>
    <w:tmpl w:val="6A607F08"/>
    <w:lvl w:ilvl="0" w:tplc="346C6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08F3"/>
    <w:multiLevelType w:val="hybridMultilevel"/>
    <w:tmpl w:val="489E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471DA"/>
    <w:multiLevelType w:val="hybridMultilevel"/>
    <w:tmpl w:val="A372C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A2"/>
    <w:rsid w:val="0026737E"/>
    <w:rsid w:val="00A60AEB"/>
    <w:rsid w:val="00C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BBF4-2EAC-4AD0-8887-1CF8AAEF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CA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CA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C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5C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CA2"/>
    <w:rPr>
      <w:rFonts w:asciiTheme="majorHAnsi" w:eastAsiaTheme="majorEastAsia" w:hAnsiTheme="majorHAnsi" w:cstheme="majorBidi"/>
      <w:b/>
      <w:bCs/>
      <w:color w:val="5B9BD5" w:themeColor="accent1"/>
      <w:lang w:eastAsia="pl-PL"/>
    </w:rPr>
  </w:style>
  <w:style w:type="paragraph" w:styleId="Akapitzlist">
    <w:name w:val="List Paragraph"/>
    <w:basedOn w:val="Normalny"/>
    <w:uiPriority w:val="34"/>
    <w:qFormat/>
    <w:rsid w:val="00CD5CA2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D5C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D5C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5CA2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D5CA2"/>
    <w:pPr>
      <w:tabs>
        <w:tab w:val="left" w:pos="440"/>
        <w:tab w:val="right" w:leader="dot" w:pos="9062"/>
      </w:tabs>
      <w:spacing w:after="100" w:line="276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D5C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CA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CA2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D5CA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akcent11">
    <w:name w:val="Jasne cieniowanie — akcent 11"/>
    <w:basedOn w:val="Standardowy"/>
    <w:uiPriority w:val="60"/>
    <w:rsid w:val="00CD5CA2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asiatkaakcent6">
    <w:name w:val="Light Grid Accent 6"/>
    <w:basedOn w:val="Standardowy"/>
    <w:uiPriority w:val="62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Application3">
    <w:name w:val="Application3"/>
    <w:basedOn w:val="Normalny"/>
    <w:rsid w:val="00CD5CA2"/>
    <w:pPr>
      <w:widowControl w:val="0"/>
      <w:tabs>
        <w:tab w:val="right" w:pos="8789"/>
      </w:tabs>
      <w:suppressAutoHyphens/>
      <w:autoSpaceDE w:val="0"/>
      <w:autoSpaceDN w:val="0"/>
      <w:spacing w:after="0" w:line="240" w:lineRule="auto"/>
      <w:ind w:left="567" w:hanging="567"/>
    </w:pPr>
    <w:rPr>
      <w:rFonts w:ascii="Arial" w:eastAsia="Times New Roman" w:hAnsi="Arial" w:cs="Arial"/>
      <w:spacing w:val="-2"/>
      <w:lang w:val="en-GB" w:eastAsia="pl-PL"/>
    </w:rPr>
  </w:style>
  <w:style w:type="paragraph" w:customStyle="1" w:styleId="Default">
    <w:name w:val="Default"/>
    <w:rsid w:val="00CD5C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D5CA2"/>
    <w:pPr>
      <w:spacing w:after="100" w:line="276" w:lineRule="auto"/>
      <w:ind w:left="220"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CD5CA2"/>
    <w:pPr>
      <w:spacing w:after="0" w:line="240" w:lineRule="auto"/>
    </w:pPr>
    <w:rPr>
      <w:rFonts w:eastAsiaTheme="minorEastAsia"/>
      <w:lang w:eastAsia="pl-PL"/>
    </w:rPr>
  </w:style>
  <w:style w:type="table" w:customStyle="1" w:styleId="redniecieniowanie1akcent11">
    <w:name w:val="Średnie cieniowanie 1 — akcent 11"/>
    <w:basedOn w:val="Standardowy"/>
    <w:uiPriority w:val="63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CD5CA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D5CA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5C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5CA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C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5CA2"/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CD5CA2"/>
  </w:style>
  <w:style w:type="table" w:customStyle="1" w:styleId="Jasnalistaakcent11">
    <w:name w:val="Jasna lista — akcent 11"/>
    <w:basedOn w:val="Standardowy"/>
    <w:uiPriority w:val="61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CA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CA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CA2"/>
    <w:rPr>
      <w:vertAlign w:val="superscript"/>
    </w:rPr>
  </w:style>
  <w:style w:type="paragraph" w:customStyle="1" w:styleId="Tekstpodstawowyzwciciem1">
    <w:name w:val="Tekst podstawowy z wcięciem1"/>
    <w:basedOn w:val="Normalny"/>
    <w:rsid w:val="00CD5CA2"/>
    <w:pPr>
      <w:suppressAutoHyphens/>
      <w:spacing w:after="0" w:line="240" w:lineRule="auto"/>
      <w:ind w:firstLine="285"/>
      <w:jc w:val="both"/>
    </w:pPr>
    <w:rPr>
      <w:rFonts w:ascii="Times New Roman" w:eastAsia="Times New Roman" w:hAnsi="Times New Roman" w:cs="Times New Roman"/>
      <w:kern w:val="20"/>
      <w:sz w:val="20"/>
      <w:szCs w:val="20"/>
      <w:lang w:eastAsia="ar-SA"/>
    </w:rPr>
  </w:style>
  <w:style w:type="table" w:styleId="redniasiatka3akcent1">
    <w:name w:val="Medium Grid 3 Accent 1"/>
    <w:basedOn w:val="Standardowy"/>
    <w:uiPriority w:val="69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olorowasiatkaakcent1">
    <w:name w:val="Colorful Grid Accent 1"/>
    <w:basedOn w:val="Standardowy"/>
    <w:uiPriority w:val="73"/>
    <w:rsid w:val="00CD5CA2"/>
    <w:pPr>
      <w:spacing w:after="0" w:line="240" w:lineRule="auto"/>
    </w:pPr>
    <w:rPr>
      <w:rFonts w:eastAsiaTheme="minorEastAsia"/>
      <w:color w:val="000000" w:themeColor="text1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2akcent1">
    <w:name w:val="Medium Grid 2 Accent 1"/>
    <w:basedOn w:val="Standardowy"/>
    <w:uiPriority w:val="68"/>
    <w:rsid w:val="00CD5C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lista2akcent1">
    <w:name w:val="Medium List 2 Accent 1"/>
    <w:basedOn w:val="Standardowy"/>
    <w:uiPriority w:val="66"/>
    <w:rsid w:val="00CD5C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1akcent11">
    <w:name w:val="Średnia lista 1 — akcent 11"/>
    <w:basedOn w:val="Standardowy"/>
    <w:uiPriority w:val="65"/>
    <w:rsid w:val="00CD5CA2"/>
    <w:pPr>
      <w:spacing w:after="0" w:line="240" w:lineRule="auto"/>
    </w:pPr>
    <w:rPr>
      <w:rFonts w:eastAsiaTheme="minorEastAsia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ecieniowanie1akcent2">
    <w:name w:val="Medium Shading 1 Accent 2"/>
    <w:basedOn w:val="Standardowy"/>
    <w:uiPriority w:val="63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2">
    <w:name w:val="Średnie cieniowanie 1 — akcent 12"/>
    <w:basedOn w:val="Standardowy"/>
    <w:uiPriority w:val="63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CA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CA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CA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CA2"/>
    <w:rPr>
      <w:b/>
      <w:bCs/>
    </w:rPr>
  </w:style>
  <w:style w:type="character" w:styleId="Uwydatnienie">
    <w:name w:val="Emphasis"/>
    <w:basedOn w:val="Domylnaczcionkaakapitu"/>
    <w:uiPriority w:val="20"/>
    <w:qFormat/>
    <w:rsid w:val="00CD5CA2"/>
    <w:rPr>
      <w:i/>
      <w:iCs/>
    </w:rPr>
  </w:style>
  <w:style w:type="character" w:customStyle="1" w:styleId="label">
    <w:name w:val="label"/>
    <w:basedOn w:val="Domylnaczcionkaakapitu"/>
    <w:rsid w:val="00CD5CA2"/>
  </w:style>
  <w:style w:type="paragraph" w:styleId="Legenda">
    <w:name w:val="caption"/>
    <w:basedOn w:val="Normalny"/>
    <w:next w:val="Normalny"/>
    <w:uiPriority w:val="35"/>
    <w:unhideWhenUsed/>
    <w:qFormat/>
    <w:rsid w:val="00CD5CA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CA2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CA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CA2"/>
    <w:rPr>
      <w:rFonts w:eastAsiaTheme="minorEastAsia"/>
      <w:b/>
      <w:bCs/>
      <w:sz w:val="20"/>
      <w:szCs w:val="20"/>
      <w:lang w:eastAsia="pl-PL"/>
    </w:rPr>
  </w:style>
  <w:style w:type="paragraph" w:styleId="Spisilustracji">
    <w:name w:val="table of figures"/>
    <w:aliases w:val="Spis tabel"/>
    <w:basedOn w:val="Normalny"/>
    <w:next w:val="Normalny"/>
    <w:uiPriority w:val="99"/>
    <w:unhideWhenUsed/>
    <w:rsid w:val="00CD5CA2"/>
    <w:pPr>
      <w:spacing w:after="0" w:line="276" w:lineRule="auto"/>
    </w:pPr>
    <w:rPr>
      <w:rFonts w:ascii="Calibri" w:eastAsiaTheme="minorEastAsia" w:hAnsi="Calibri"/>
      <w:sz w:val="24"/>
      <w:lang w:eastAsia="pl-PL"/>
    </w:rPr>
  </w:style>
  <w:style w:type="paragraph" w:customStyle="1" w:styleId="Tabela">
    <w:name w:val="Tabela"/>
    <w:next w:val="Normalny"/>
    <w:rsid w:val="00CD5CA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table" w:styleId="Jasnalistaakcent5">
    <w:name w:val="Light List Accent 5"/>
    <w:basedOn w:val="Standardowy"/>
    <w:uiPriority w:val="61"/>
    <w:rsid w:val="00CD5CA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Jasnalistaakcent12">
    <w:name w:val="Jasna lista — akcent 12"/>
    <w:basedOn w:val="Standardowy"/>
    <w:uiPriority w:val="61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Jasnasiatkaakcent12">
    <w:name w:val="Jasna siatka — akcent 12"/>
    <w:basedOn w:val="Standardowy"/>
    <w:uiPriority w:val="62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listaakcent1">
    <w:name w:val="Light List Accent 1"/>
    <w:basedOn w:val="Standardowy"/>
    <w:uiPriority w:val="61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siatkaakcent1">
    <w:name w:val="Light Grid Accent 1"/>
    <w:basedOn w:val="Standardowy"/>
    <w:uiPriority w:val="62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iatkatabelijasna">
    <w:name w:val="Grid Table Light"/>
    <w:basedOn w:val="Standardowy"/>
    <w:uiPriority w:val="40"/>
    <w:rsid w:val="00CD5CA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1">
    <w:name w:val="Grid Table 4 Accent 1"/>
    <w:basedOn w:val="Standardowy"/>
    <w:uiPriority w:val="49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Jasnasiatkaakcent111">
    <w:name w:val="Jasna siatka — akcent 111"/>
    <w:basedOn w:val="Standardowy"/>
    <w:uiPriority w:val="62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CD5CA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3akcent11">
    <w:name w:val="Tabela siatki 3 — akcent 11"/>
    <w:basedOn w:val="Standardowy"/>
    <w:uiPriority w:val="48"/>
    <w:rsid w:val="00CD5CA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CD5CA2"/>
    <w:pPr>
      <w:spacing w:after="0" w:line="240" w:lineRule="auto"/>
    </w:pPr>
    <w:rPr>
      <w:rFonts w:asciiTheme="majorHAnsi" w:eastAsiaTheme="majorEastAsia" w:hAnsiTheme="majorHAnsi" w:cstheme="majorBidi"/>
      <w:color w:val="2F5496" w:themeColor="accent5" w:themeShade="BF"/>
      <w:lang w:val="en-US" w:bidi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1408CA-C07D-4215-9188-9EC6E2528E0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9DF1F88-71D5-4B99-82A2-6DA19BDF19A3}">
      <dgm:prSet phldrT="[Tekst]" custT="1"/>
      <dgm:spPr>
        <a:xfrm>
          <a:off x="0" y="289799"/>
          <a:ext cx="5486400" cy="1216800"/>
        </a:xfrm>
        <a:solidFill>
          <a:srgbClr val="7FD13B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pl-PL" sz="1600">
              <a:solidFill>
                <a:sysClr val="window" lastClr="FFFFFF"/>
              </a:solidFill>
              <a:latin typeface="Verdana"/>
              <a:ea typeface="+mn-ea"/>
              <a:cs typeface="+mn-cs"/>
            </a:rPr>
            <a:t>Przekształcenie przestrzeni zdegradowanej na cele aktywizacji społecznej</a:t>
          </a:r>
        </a:p>
      </dgm:t>
    </dgm:pt>
    <dgm:pt modelId="{A7649000-887F-4E99-9409-3870FA792EFA}" type="parTrans" cxnId="{D12B19D8-3C2B-4637-A5C3-12AC046DAC6F}">
      <dgm:prSet/>
      <dgm:spPr/>
      <dgm:t>
        <a:bodyPr/>
        <a:lstStyle/>
        <a:p>
          <a:endParaRPr lang="pl-PL"/>
        </a:p>
      </dgm:t>
    </dgm:pt>
    <dgm:pt modelId="{020E0362-F70E-4823-AAD8-06ECCB7A9BB5}" type="sibTrans" cxnId="{D12B19D8-3C2B-4637-A5C3-12AC046DAC6F}">
      <dgm:prSet/>
      <dgm:spPr/>
      <dgm:t>
        <a:bodyPr/>
        <a:lstStyle/>
        <a:p>
          <a:endParaRPr lang="pl-PL"/>
        </a:p>
      </dgm:t>
    </dgm:pt>
    <dgm:pt modelId="{45CA633E-C904-4B1D-8F4D-AC7D63339743}" type="pres">
      <dgm:prSet presAssocID="{2F1408CA-C07D-4215-9188-9EC6E2528E0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0BE08018-9604-4952-A2DA-AB6EDEC065B3}" type="pres">
      <dgm:prSet presAssocID="{49DF1F88-71D5-4B99-82A2-6DA19BDF19A3}" presName="parentText" presStyleLbl="node1" presStyleIdx="0" presStyleCnt="1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D374E562-478C-4A61-B954-71ABB85B60A2}" type="presOf" srcId="{2F1408CA-C07D-4215-9188-9EC6E2528E03}" destId="{45CA633E-C904-4B1D-8F4D-AC7D63339743}" srcOrd="0" destOrd="0" presId="urn:microsoft.com/office/officeart/2005/8/layout/vList2"/>
    <dgm:cxn modelId="{D12B19D8-3C2B-4637-A5C3-12AC046DAC6F}" srcId="{2F1408CA-C07D-4215-9188-9EC6E2528E03}" destId="{49DF1F88-71D5-4B99-82A2-6DA19BDF19A3}" srcOrd="0" destOrd="0" parTransId="{A7649000-887F-4E99-9409-3870FA792EFA}" sibTransId="{020E0362-F70E-4823-AAD8-06ECCB7A9BB5}"/>
    <dgm:cxn modelId="{0DE5AEE5-FF4D-4988-BC35-9EBFA8E427C9}" type="presOf" srcId="{49DF1F88-71D5-4B99-82A2-6DA19BDF19A3}" destId="{0BE08018-9604-4952-A2DA-AB6EDEC065B3}" srcOrd="0" destOrd="0" presId="urn:microsoft.com/office/officeart/2005/8/layout/vList2"/>
    <dgm:cxn modelId="{D0BD57B4-B52A-4F96-AC2B-BCD2AA3086F9}" type="presParOf" srcId="{45CA633E-C904-4B1D-8F4D-AC7D63339743}" destId="{0BE08018-9604-4952-A2DA-AB6EDEC065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1408CA-C07D-4215-9188-9EC6E2528E0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9DF1F88-71D5-4B99-82A2-6DA19BDF19A3}">
      <dgm:prSet phldrT="[Tekst]" custT="1"/>
      <dgm:spPr>
        <a:xfrm>
          <a:off x="0" y="289799"/>
          <a:ext cx="5486400" cy="1216800"/>
        </a:xfrm>
        <a:solidFill>
          <a:srgbClr val="7FD13B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pl-PL" sz="1600">
              <a:solidFill>
                <a:sysClr val="window" lastClr="FFFFFF"/>
              </a:solidFill>
              <a:latin typeface="Verdana"/>
              <a:ea typeface="+mn-ea"/>
              <a:cs typeface="+mn-cs"/>
            </a:rPr>
            <a:t>Rozwój społeczny dzieci i młodzieży w rejonach o niskim poziomie kształcenia w szkołach podstawowych i gimnazjalnych</a:t>
          </a:r>
        </a:p>
      </dgm:t>
    </dgm:pt>
    <dgm:pt modelId="{A7649000-887F-4E99-9409-3870FA792EFA}" type="parTrans" cxnId="{D12B19D8-3C2B-4637-A5C3-12AC046DAC6F}">
      <dgm:prSet/>
      <dgm:spPr/>
      <dgm:t>
        <a:bodyPr/>
        <a:lstStyle/>
        <a:p>
          <a:endParaRPr lang="pl-PL"/>
        </a:p>
      </dgm:t>
    </dgm:pt>
    <dgm:pt modelId="{020E0362-F70E-4823-AAD8-06ECCB7A9BB5}" type="sibTrans" cxnId="{D12B19D8-3C2B-4637-A5C3-12AC046DAC6F}">
      <dgm:prSet/>
      <dgm:spPr/>
      <dgm:t>
        <a:bodyPr/>
        <a:lstStyle/>
        <a:p>
          <a:endParaRPr lang="pl-PL"/>
        </a:p>
      </dgm:t>
    </dgm:pt>
    <dgm:pt modelId="{45CA633E-C904-4B1D-8F4D-AC7D63339743}" type="pres">
      <dgm:prSet presAssocID="{2F1408CA-C07D-4215-9188-9EC6E2528E0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0BE08018-9604-4952-A2DA-AB6EDEC065B3}" type="pres">
      <dgm:prSet presAssocID="{49DF1F88-71D5-4B99-82A2-6DA19BDF19A3}" presName="parentText" presStyleLbl="node1" presStyleIdx="0" presStyleCnt="1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D12B19D8-3C2B-4637-A5C3-12AC046DAC6F}" srcId="{2F1408CA-C07D-4215-9188-9EC6E2528E03}" destId="{49DF1F88-71D5-4B99-82A2-6DA19BDF19A3}" srcOrd="0" destOrd="0" parTransId="{A7649000-887F-4E99-9409-3870FA792EFA}" sibTransId="{020E0362-F70E-4823-AAD8-06ECCB7A9BB5}"/>
    <dgm:cxn modelId="{AE241785-EA64-43BC-9B87-9E9F7D93799C}" type="presOf" srcId="{2F1408CA-C07D-4215-9188-9EC6E2528E03}" destId="{45CA633E-C904-4B1D-8F4D-AC7D63339743}" srcOrd="0" destOrd="0" presId="urn:microsoft.com/office/officeart/2005/8/layout/vList2"/>
    <dgm:cxn modelId="{FD402C94-3A5B-48F9-9BBA-6C19B5D8F372}" type="presOf" srcId="{49DF1F88-71D5-4B99-82A2-6DA19BDF19A3}" destId="{0BE08018-9604-4952-A2DA-AB6EDEC065B3}" srcOrd="0" destOrd="0" presId="urn:microsoft.com/office/officeart/2005/8/layout/vList2"/>
    <dgm:cxn modelId="{17BA0E5F-F802-465C-B92F-920D26DDF6D6}" type="presParOf" srcId="{45CA633E-C904-4B1D-8F4D-AC7D63339743}" destId="{0BE08018-9604-4952-A2DA-AB6EDEC065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08018-9604-4952-A2DA-AB6EDEC065B3}">
      <dsp:nvSpPr>
        <dsp:cNvPr id="0" name=""/>
        <dsp:cNvSpPr/>
      </dsp:nvSpPr>
      <dsp:spPr>
        <a:xfrm>
          <a:off x="0" y="991800"/>
          <a:ext cx="5486400" cy="1216800"/>
        </a:xfrm>
        <a:prstGeom prst="roundRect">
          <a:avLst/>
        </a:prstGeom>
        <a:solidFill>
          <a:srgbClr val="7FD13B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solidFill>
                <a:sysClr val="window" lastClr="FFFFFF"/>
              </a:solidFill>
              <a:latin typeface="Verdana"/>
              <a:ea typeface="+mn-ea"/>
              <a:cs typeface="+mn-cs"/>
            </a:rPr>
            <a:t>Przekształcenie przestrzeni zdegradowanej na cele aktywizacji społecznej</a:t>
          </a:r>
        </a:p>
      </dsp:txBody>
      <dsp:txXfrm>
        <a:off x="59399" y="1051199"/>
        <a:ext cx="5367602" cy="10980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08018-9604-4952-A2DA-AB6EDEC065B3}">
      <dsp:nvSpPr>
        <dsp:cNvPr id="0" name=""/>
        <dsp:cNvSpPr/>
      </dsp:nvSpPr>
      <dsp:spPr>
        <a:xfrm>
          <a:off x="0" y="991800"/>
          <a:ext cx="5486400" cy="1216800"/>
        </a:xfrm>
        <a:prstGeom prst="roundRect">
          <a:avLst/>
        </a:prstGeom>
        <a:solidFill>
          <a:srgbClr val="7FD13B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solidFill>
                <a:sysClr val="window" lastClr="FFFFFF"/>
              </a:solidFill>
              <a:latin typeface="Verdana"/>
              <a:ea typeface="+mn-ea"/>
              <a:cs typeface="+mn-cs"/>
            </a:rPr>
            <a:t>Rozwój społeczny dzieci i młodzieży w rejonach o niskim poziomie kształcenia w szkołach podstawowych i gimnazjalnych</a:t>
          </a:r>
        </a:p>
      </dsp:txBody>
      <dsp:txXfrm>
        <a:off x="59399" y="1051199"/>
        <a:ext cx="5367602" cy="1098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3199</Words>
  <Characters>19195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2018-05-21T10:54:00Z</dcterms:created>
  <dcterms:modified xsi:type="dcterms:W3CDTF">2018-05-21T10:56:00Z</dcterms:modified>
</cp:coreProperties>
</file>