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e–mail: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</w:r>
      <w:proofErr w:type="spellStart"/>
      <w:r w:rsidR="007641AC">
        <w:rPr>
          <w:sz w:val="22"/>
          <w:szCs w:val="22"/>
        </w:rPr>
        <w:t>Aleksandrów</w:t>
      </w:r>
      <w:proofErr w:type="spellEnd"/>
      <w:r w:rsidR="007641AC">
        <w:rPr>
          <w:sz w:val="22"/>
          <w:szCs w:val="22"/>
        </w:rPr>
        <w:t xml:space="preserve"> </w:t>
      </w:r>
      <w:r w:rsidR="004559D3" w:rsidRPr="00EF3940">
        <w:rPr>
          <w:sz w:val="22"/>
          <w:szCs w:val="22"/>
        </w:rPr>
        <w:t xml:space="preserve">Kujawski, dnia </w:t>
      </w:r>
      <w:r w:rsidR="000538E1">
        <w:rPr>
          <w:sz w:val="22"/>
          <w:szCs w:val="22"/>
        </w:rPr>
        <w:t>29.03.2017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CE5EE8" w:rsidRDefault="00C12A16" w:rsidP="00CE5E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>(Dz. U. z 2015 r. poz. 2164 ze zm.</w:t>
      </w:r>
      <w:r w:rsidR="00670871" w:rsidRPr="0009487E">
        <w:rPr>
          <w:sz w:val="22"/>
          <w:szCs w:val="22"/>
        </w:rPr>
        <w:t>), wobec zapytania z dnia</w:t>
      </w:r>
      <w:r w:rsidRPr="0009487E">
        <w:rPr>
          <w:sz w:val="22"/>
          <w:szCs w:val="22"/>
        </w:rPr>
        <w:t xml:space="preserve"> </w:t>
      </w:r>
      <w:r w:rsidR="00CE5EE8">
        <w:rPr>
          <w:sz w:val="22"/>
          <w:szCs w:val="22"/>
        </w:rPr>
        <w:t>28</w:t>
      </w:r>
      <w:r w:rsidR="000538E1">
        <w:rPr>
          <w:sz w:val="22"/>
          <w:szCs w:val="22"/>
        </w:rPr>
        <w:t>.03.2017</w:t>
      </w:r>
      <w:r w:rsidRPr="0009487E">
        <w:rPr>
          <w:sz w:val="22"/>
          <w:szCs w:val="22"/>
        </w:rPr>
        <w:t xml:space="preserve"> r.</w:t>
      </w:r>
      <w:r w:rsidR="007641AC">
        <w:rPr>
          <w:sz w:val="22"/>
          <w:szCs w:val="22"/>
        </w:rPr>
        <w:t xml:space="preserve"> jakie wpłynęło</w:t>
      </w:r>
      <w:r w:rsidR="00A42E56" w:rsidRPr="0009487E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           </w:t>
      </w:r>
      <w:r w:rsidRPr="0009487E">
        <w:rPr>
          <w:sz w:val="22"/>
          <w:szCs w:val="22"/>
        </w:rPr>
        <w:t>do Zamawiającego</w:t>
      </w:r>
      <w:r w:rsidR="00A853F6" w:rsidRPr="0009487E">
        <w:rPr>
          <w:sz w:val="22"/>
          <w:szCs w:val="22"/>
        </w:rPr>
        <w:t xml:space="preserve"> w zakresie postępowa</w:t>
      </w:r>
      <w:r w:rsidR="00ED5115" w:rsidRPr="0009487E">
        <w:rPr>
          <w:sz w:val="22"/>
          <w:szCs w:val="22"/>
        </w:rPr>
        <w:t xml:space="preserve">nia </w:t>
      </w:r>
      <w:r w:rsidR="00C63392">
        <w:rPr>
          <w:sz w:val="22"/>
          <w:szCs w:val="22"/>
        </w:rPr>
        <w:t>prowadzonego pod nr In.271.1.2017</w:t>
      </w:r>
      <w:r w:rsidR="00A853F6" w:rsidRPr="00745A02">
        <w:rPr>
          <w:sz w:val="22"/>
          <w:szCs w:val="22"/>
        </w:rPr>
        <w:t>.JZ</w:t>
      </w:r>
      <w:r w:rsidRPr="00745A02">
        <w:rPr>
          <w:sz w:val="22"/>
          <w:szCs w:val="22"/>
        </w:rPr>
        <w:t>, dotyczącego</w:t>
      </w:r>
      <w:r w:rsidR="00BB7938" w:rsidRPr="00745A02">
        <w:rPr>
          <w:sz w:val="22"/>
          <w:szCs w:val="22"/>
        </w:rPr>
        <w:t xml:space="preserve"> „</w:t>
      </w:r>
      <w:r w:rsidR="00745A02" w:rsidRPr="00745A02">
        <w:rPr>
          <w:bCs/>
          <w:iCs/>
          <w:sz w:val="22"/>
          <w:szCs w:val="22"/>
        </w:rPr>
        <w:t>Z</w:t>
      </w:r>
      <w:r w:rsidR="003818E2" w:rsidRPr="00745A02">
        <w:rPr>
          <w:bCs/>
          <w:iCs/>
          <w:sz w:val="22"/>
          <w:szCs w:val="22"/>
        </w:rPr>
        <w:t xml:space="preserve">aprojektowanie i wykonanie instalacji odnawialnych źródeł energii do produkcji energii elektrycznej i cieplnej wyłącznie na potrzeby prywatnych budynków mieszkalnych na terenie Gminy Aleksandrów </w:t>
      </w:r>
      <w:r w:rsidR="003818E2" w:rsidRPr="00CE5EE8">
        <w:rPr>
          <w:bCs/>
          <w:iCs/>
          <w:sz w:val="22"/>
          <w:szCs w:val="22"/>
        </w:rPr>
        <w:t>Kujawski</w:t>
      </w:r>
      <w:r w:rsidR="00BB7938" w:rsidRPr="00CE5EE8">
        <w:rPr>
          <w:sz w:val="22"/>
          <w:szCs w:val="22"/>
        </w:rPr>
        <w:t>”</w:t>
      </w:r>
      <w:r w:rsidR="00654E01" w:rsidRPr="00CE5EE8">
        <w:rPr>
          <w:sz w:val="22"/>
          <w:szCs w:val="22"/>
        </w:rPr>
        <w:t xml:space="preserve"> </w:t>
      </w:r>
      <w:r w:rsidRPr="00CE5EE8">
        <w:rPr>
          <w:sz w:val="22"/>
          <w:szCs w:val="22"/>
        </w:rPr>
        <w:t>Zamawiający przedstawia następujące wyjaśnienia:</w:t>
      </w:r>
    </w:p>
    <w:p w:rsidR="007E5DCB" w:rsidRPr="00CE5EE8" w:rsidRDefault="007E5DCB" w:rsidP="00CE5EE8">
      <w:pPr>
        <w:jc w:val="both"/>
        <w:rPr>
          <w:sz w:val="22"/>
          <w:szCs w:val="22"/>
        </w:rPr>
      </w:pPr>
    </w:p>
    <w:p w:rsidR="00CE5EE8" w:rsidRPr="00CE5EE8" w:rsidRDefault="00CE5EE8" w:rsidP="00CE5EE8">
      <w:pPr>
        <w:numPr>
          <w:ilvl w:val="0"/>
          <w:numId w:val="27"/>
        </w:numPr>
        <w:jc w:val="both"/>
      </w:pPr>
      <w:r w:rsidRPr="00CE5EE8">
        <w:t xml:space="preserve">Czy Zamawiający dysponuje danymi dotyczącymi zużycia energii w każdej </w:t>
      </w:r>
      <w:r>
        <w:t xml:space="preserve">                        </w:t>
      </w:r>
      <w:r w:rsidRPr="00CE5EE8">
        <w:t>z wymienionych w PFU lokalizacji?</w:t>
      </w:r>
    </w:p>
    <w:p w:rsidR="00CE5EE8" w:rsidRPr="00CE5EE8" w:rsidRDefault="00CE5EE8" w:rsidP="00CE5EE8">
      <w:pPr>
        <w:jc w:val="both"/>
      </w:pPr>
      <w:r w:rsidRPr="00CE5EE8">
        <w:t>Odp.: Tak.</w:t>
      </w:r>
    </w:p>
    <w:p w:rsidR="00CE5EE8" w:rsidRPr="00CE5EE8" w:rsidRDefault="00CE5EE8" w:rsidP="00CE5EE8">
      <w:pPr>
        <w:numPr>
          <w:ilvl w:val="0"/>
          <w:numId w:val="27"/>
        </w:numPr>
        <w:jc w:val="both"/>
      </w:pPr>
      <w:r w:rsidRPr="00CE5EE8">
        <w:t>Czy „Obwód dedykowany” musi znaleźć się w każdej z  wymienionych w PFU lokalizacji czy tylko w tych, w której zużycie energii jest mniejsze niż zalecana moc instalacji?</w:t>
      </w:r>
    </w:p>
    <w:p w:rsidR="00CE5EE8" w:rsidRPr="00CE5EE8" w:rsidRDefault="00CE5EE8" w:rsidP="00CE5EE8">
      <w:pPr>
        <w:jc w:val="both"/>
      </w:pPr>
      <w:r w:rsidRPr="00CE5EE8">
        <w:t>Odp.: Tak, musi znaleźć się w każdej lokalizacji wymienionej w punkcie 2.9.</w:t>
      </w:r>
    </w:p>
    <w:p w:rsidR="00CE5EE8" w:rsidRPr="00CE5EE8" w:rsidRDefault="00CE5EE8" w:rsidP="00CE5EE8">
      <w:pPr>
        <w:numPr>
          <w:ilvl w:val="0"/>
          <w:numId w:val="27"/>
        </w:numPr>
        <w:jc w:val="both"/>
      </w:pPr>
      <w:r w:rsidRPr="00CE5EE8">
        <w:t>Czy po stronie Wykonawcy jest sprzedaż i montaż cyt. „Podgrzewacz Centralnej Wody użytkowej LUB Centralnego Ogrzewania”?</w:t>
      </w:r>
    </w:p>
    <w:p w:rsidR="00CE5EE8" w:rsidRPr="00CE5EE8" w:rsidRDefault="00CE5EE8" w:rsidP="00CE5EE8">
      <w:pPr>
        <w:jc w:val="both"/>
      </w:pPr>
      <w:r w:rsidRPr="00CE5EE8">
        <w:t xml:space="preserve"> Odp.: Nie. W każdej lokalizacji występuje zasobnik na c.w.u. lub c.o.  </w:t>
      </w:r>
    </w:p>
    <w:p w:rsidR="00CE5EE8" w:rsidRPr="00CE5EE8" w:rsidRDefault="00CE5EE8" w:rsidP="00CE5EE8">
      <w:pPr>
        <w:jc w:val="both"/>
      </w:pPr>
    </w:p>
    <w:p w:rsidR="00CE5EE8" w:rsidRPr="00CE5EE8" w:rsidRDefault="00CE5EE8" w:rsidP="00CE5EE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5EE8">
        <w:rPr>
          <w:rFonts w:ascii="Times New Roman" w:eastAsia="Times New Roman" w:hAnsi="Times New Roman"/>
          <w:sz w:val="24"/>
          <w:szCs w:val="24"/>
          <w:lang w:eastAsia="pl-PL"/>
        </w:rPr>
        <w:t>Czy Zamawiający dopuszcza poniższe rozwiązania jako „Obwód dedykowany”</w:t>
      </w:r>
    </w:p>
    <w:p w:rsidR="00CE5EE8" w:rsidRPr="00CE5EE8" w:rsidRDefault="00CE5EE8" w:rsidP="00CE5EE8">
      <w:pPr>
        <w:jc w:val="both"/>
      </w:pPr>
      <w:r w:rsidRPr="00CE5EE8">
        <w:t xml:space="preserve">a) Urządzenie </w:t>
      </w:r>
      <w:proofErr w:type="spellStart"/>
      <w:r w:rsidRPr="00CE5EE8">
        <w:t>WATTrouter</w:t>
      </w:r>
      <w:proofErr w:type="spellEnd"/>
      <w:r w:rsidRPr="00CE5EE8">
        <w:t xml:space="preserve"> (sterownik automatycznie przekierowujący nadwyżki ene</w:t>
      </w:r>
      <w:r w:rsidRPr="00CE5EE8">
        <w:t>r</w:t>
      </w:r>
      <w:r w:rsidRPr="00CE5EE8">
        <w:t>gii na</w:t>
      </w:r>
      <w:r w:rsidRPr="00CE5EE8">
        <w:t xml:space="preserve"> wybrane urządzenie elektryczne</w:t>
      </w:r>
      <w:r w:rsidRPr="00CE5EE8">
        <w:t>)</w:t>
      </w:r>
    </w:p>
    <w:p w:rsidR="00CE5EE8" w:rsidRPr="00CE5EE8" w:rsidRDefault="00CE5EE8" w:rsidP="00CE5EE8">
      <w:pPr>
        <w:jc w:val="both"/>
      </w:pPr>
    </w:p>
    <w:p w:rsidR="00CE5EE8" w:rsidRPr="00CE5EE8" w:rsidRDefault="00CE5EE8" w:rsidP="00CE5EE8">
      <w:pPr>
        <w:jc w:val="both"/>
      </w:pPr>
      <w:r w:rsidRPr="00CE5EE8">
        <w:t>– w lokalizacjach gdzie Użytkujący jest już wyposażony w bojler z grzałką AC</w:t>
      </w:r>
    </w:p>
    <w:p w:rsidR="00CE5EE8" w:rsidRPr="00CE5EE8" w:rsidRDefault="00CE5EE8" w:rsidP="00CE5EE8">
      <w:pPr>
        <w:jc w:val="both"/>
      </w:pPr>
      <w:r w:rsidRPr="00CE5EE8">
        <w:t xml:space="preserve">         </w:t>
      </w:r>
    </w:p>
    <w:p w:rsidR="00CE5EE8" w:rsidRPr="00CE5EE8" w:rsidRDefault="00CE5EE8" w:rsidP="00CE5EE8">
      <w:pPr>
        <w:jc w:val="both"/>
      </w:pPr>
      <w:r w:rsidRPr="00CE5EE8">
        <w:t xml:space="preserve"> b) Urządzenie </w:t>
      </w:r>
      <w:proofErr w:type="spellStart"/>
      <w:r w:rsidRPr="00CE5EE8">
        <w:t>WATTrouter</w:t>
      </w:r>
      <w:proofErr w:type="spellEnd"/>
      <w:r w:rsidRPr="00CE5EE8">
        <w:t xml:space="preserve"> (sterownik automatycznie przekierowujący nadwyżki ene</w:t>
      </w:r>
      <w:r w:rsidRPr="00CE5EE8">
        <w:t>r</w:t>
      </w:r>
      <w:r w:rsidRPr="00CE5EE8">
        <w:t>gii na</w:t>
      </w:r>
      <w:r w:rsidRPr="00CE5EE8">
        <w:t xml:space="preserve"> wybrane urządzenie elektryczne</w:t>
      </w:r>
      <w:r w:rsidRPr="00CE5EE8">
        <w:t xml:space="preserve">) </w:t>
      </w:r>
    </w:p>
    <w:p w:rsidR="00CE5EE8" w:rsidRPr="00CE5EE8" w:rsidRDefault="00CE5EE8" w:rsidP="00CE5EE8">
      <w:pPr>
        <w:jc w:val="both"/>
      </w:pPr>
      <w:r w:rsidRPr="00CE5EE8">
        <w:t>wraz z grzałką AC - w lokalizacjach gdzie Użytkujący jest już wyposażony w bojler</w:t>
      </w:r>
    </w:p>
    <w:p w:rsidR="00CE5EE8" w:rsidRPr="00CE5EE8" w:rsidRDefault="00CE5EE8" w:rsidP="00CE5EE8">
      <w:pPr>
        <w:jc w:val="both"/>
      </w:pPr>
      <w:r w:rsidRPr="00CE5EE8">
        <w:t xml:space="preserve">          </w:t>
      </w:r>
    </w:p>
    <w:p w:rsidR="00CE5EE8" w:rsidRPr="00CE5EE8" w:rsidRDefault="00CE5EE8" w:rsidP="00CE5EE8">
      <w:pPr>
        <w:jc w:val="both"/>
      </w:pPr>
      <w:r w:rsidRPr="00CE5EE8">
        <w:t>c) Hybrydowy bojler z grzałkami: AC oraz DC</w:t>
      </w:r>
    </w:p>
    <w:p w:rsidR="00CE5EE8" w:rsidRPr="00CE5EE8" w:rsidRDefault="00CE5EE8" w:rsidP="00CE5EE8">
      <w:pPr>
        <w:jc w:val="both"/>
      </w:pPr>
      <w:r w:rsidRPr="00CE5EE8">
        <w:t xml:space="preserve"> - w lokalizacjach gdzie Użytkujący nie jest wyposażony w bojler</w:t>
      </w:r>
    </w:p>
    <w:p w:rsidR="00CE5EE8" w:rsidRPr="00CE5EE8" w:rsidRDefault="00CE5EE8" w:rsidP="00CE5EE8">
      <w:pPr>
        <w:jc w:val="both"/>
      </w:pPr>
    </w:p>
    <w:p w:rsidR="00CE5EE8" w:rsidRPr="00CE5EE8" w:rsidRDefault="00CE5EE8" w:rsidP="00CE5EE8">
      <w:pPr>
        <w:jc w:val="both"/>
      </w:pPr>
      <w:r w:rsidRPr="00CE5EE8">
        <w:t xml:space="preserve">             Odp.: W programie PFU podano minimalne wymagania dla inwerterów zgodne </w:t>
      </w:r>
      <w:r>
        <w:t xml:space="preserve">                </w:t>
      </w:r>
      <w:r w:rsidRPr="00CE5EE8">
        <w:t>z dyrektywami i normami zawartymi w opracowaniu, dotyczącymi zmian w oprogramowaniu pozwalających na uruchomienie funkcji sterowania elementami wykonawczymi po osiągnięciu przez instalację mocy zgodnej z mocą przewidzianą dla obwodu dedykowanego. Zbędnym jest zastosowanie dodatkowych sterowników itp. urządzeń, w związku z czym Zamawiający nie dopuszcza innych rozwiązań niż wskazano w powyższym wyjaśnieniu.</w:t>
      </w:r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  <w:bookmarkStart w:id="0" w:name="_GoBack"/>
      <w:bookmarkEnd w:id="0"/>
    </w:p>
    <w:p w:rsidR="00CE5EE8" w:rsidRPr="00CE5EE8" w:rsidRDefault="00CE5EE8" w:rsidP="00CE5EE8">
      <w:pPr>
        <w:jc w:val="both"/>
      </w:pPr>
    </w:p>
    <w:p w:rsidR="00CE5EE8" w:rsidRPr="00CE5EE8" w:rsidRDefault="00CE5EE8" w:rsidP="00CE5EE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5EE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Czy Zamawiający dopuszcza 5% tolerancji </w:t>
      </w:r>
      <w:r w:rsidRPr="00CE5EE8">
        <w:rPr>
          <w:rFonts w:ascii="Times New Roman" w:eastAsia="Times New Roman" w:hAnsi="Times New Roman"/>
          <w:sz w:val="24"/>
          <w:szCs w:val="24"/>
          <w:lang w:eastAsia="pl-PL"/>
        </w:rPr>
        <w:t>w wadze ogniwa fotowoltaicznego?</w:t>
      </w:r>
    </w:p>
    <w:p w:rsidR="00CE5EE8" w:rsidRPr="00CE5EE8" w:rsidRDefault="00CE5EE8" w:rsidP="00CE5EE8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E5EE8" w:rsidRPr="00CE5EE8" w:rsidRDefault="00CE5EE8" w:rsidP="00CE5EE8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5EE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Odp. Maksymalną wagę podano w PFU w ogólnych wymaganiach technicznych paneli fotowoltaicznych.</w:t>
      </w:r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8"/>
  </w:num>
  <w:num w:numId="11">
    <w:abstractNumId w:val="24"/>
  </w:num>
  <w:num w:numId="12">
    <w:abstractNumId w:val="0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9"/>
  </w:num>
  <w:num w:numId="18">
    <w:abstractNumId w:val="6"/>
  </w:num>
  <w:num w:numId="19">
    <w:abstractNumId w:val="20"/>
  </w:num>
  <w:num w:numId="20">
    <w:abstractNumId w:val="19"/>
  </w:num>
  <w:num w:numId="21">
    <w:abstractNumId w:val="7"/>
  </w:num>
  <w:num w:numId="22">
    <w:abstractNumId w:val="14"/>
  </w:num>
  <w:num w:numId="23">
    <w:abstractNumId w:val="22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E9999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8D3DA-26CD-4494-88D1-00B46392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4</cp:revision>
  <cp:lastPrinted>2017-03-31T07:50:00Z</cp:lastPrinted>
  <dcterms:created xsi:type="dcterms:W3CDTF">2017-03-31T07:39:00Z</dcterms:created>
  <dcterms:modified xsi:type="dcterms:W3CDTF">2017-03-31T07:50:00Z</dcterms:modified>
</cp:coreProperties>
</file>