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86E" w:rsidRPr="003147CB" w:rsidRDefault="005C186E" w:rsidP="005C186E">
      <w:pPr>
        <w:shd w:val="clear" w:color="auto" w:fill="FFFFFF"/>
        <w:suppressAutoHyphens w:val="0"/>
        <w:spacing w:before="280" w:after="280" w:line="276" w:lineRule="auto"/>
        <w:jc w:val="center"/>
        <w:textAlignment w:val="top"/>
        <w:rPr>
          <w:rFonts w:asciiTheme="majorHAnsi" w:hAnsiTheme="majorHAnsi" w:cs="Tahoma"/>
          <w:b/>
          <w:bCs/>
        </w:rPr>
      </w:pPr>
      <w:r w:rsidRPr="003147CB">
        <w:rPr>
          <w:rFonts w:asciiTheme="majorHAnsi" w:hAnsiTheme="majorHAnsi" w:cs="Tahoma"/>
          <w:b/>
          <w:bCs/>
        </w:rPr>
        <w:t>K U R E N D A</w:t>
      </w:r>
    </w:p>
    <w:p w:rsidR="005C186E" w:rsidRDefault="005C186E" w:rsidP="005C186E">
      <w:pPr>
        <w:ind w:firstLine="708"/>
        <w:jc w:val="both"/>
        <w:rPr>
          <w:rFonts w:asciiTheme="majorHAnsi" w:eastAsia="Calibri" w:hAnsiTheme="majorHAnsi"/>
          <w:sz w:val="22"/>
          <w:szCs w:val="22"/>
          <w:lang w:eastAsia="en-US"/>
        </w:rPr>
      </w:pPr>
      <w:r w:rsidRPr="005C186E">
        <w:rPr>
          <w:rFonts w:asciiTheme="majorHAnsi" w:eastAsia="Calibri" w:hAnsiTheme="majorHAnsi"/>
          <w:sz w:val="22"/>
          <w:szCs w:val="22"/>
          <w:lang w:eastAsia="en-US"/>
        </w:rPr>
        <w:t xml:space="preserve">W dniu </w:t>
      </w:r>
      <w:r w:rsidRPr="005C186E">
        <w:rPr>
          <w:rFonts w:asciiTheme="majorHAnsi" w:eastAsia="Calibri" w:hAnsiTheme="majorHAnsi"/>
          <w:b/>
          <w:sz w:val="22"/>
          <w:szCs w:val="22"/>
          <w:lang w:eastAsia="en-US"/>
        </w:rPr>
        <w:t xml:space="preserve">12 lipca 2016 roku </w:t>
      </w:r>
      <w:r w:rsidRPr="005C186E">
        <w:rPr>
          <w:rFonts w:asciiTheme="majorHAnsi" w:eastAsia="Calibri" w:hAnsiTheme="majorHAnsi"/>
          <w:sz w:val="22"/>
          <w:szCs w:val="22"/>
          <w:lang w:eastAsia="en-US"/>
        </w:rPr>
        <w:t xml:space="preserve">rozpoczną się konsultacje społeczne </w:t>
      </w:r>
      <w:r>
        <w:rPr>
          <w:rFonts w:asciiTheme="majorHAnsi" w:eastAsia="Calibri" w:hAnsiTheme="majorHAnsi"/>
          <w:sz w:val="22"/>
          <w:szCs w:val="22"/>
          <w:lang w:eastAsia="en-US"/>
        </w:rPr>
        <w:t>n</w:t>
      </w:r>
      <w:r w:rsidRPr="005C186E">
        <w:rPr>
          <w:rFonts w:asciiTheme="majorHAnsi" w:eastAsia="Calibri" w:hAnsiTheme="majorHAnsi"/>
          <w:sz w:val="22"/>
          <w:szCs w:val="22"/>
          <w:lang w:eastAsia="en-US"/>
        </w:rPr>
        <w:t>a podstawie art. 11 ust. 3 w związku z art. 6 ustawy z dnia 9 października 2015 r., o rewitalizacji (Dz.U. z 2015 r. poz. 1777) dotycząc</w:t>
      </w:r>
      <w:r>
        <w:rPr>
          <w:rFonts w:asciiTheme="majorHAnsi" w:eastAsia="Calibri" w:hAnsiTheme="majorHAnsi"/>
          <w:sz w:val="22"/>
          <w:szCs w:val="22"/>
          <w:lang w:eastAsia="en-US"/>
        </w:rPr>
        <w:t>e</w:t>
      </w:r>
      <w:r w:rsidRPr="005C186E">
        <w:rPr>
          <w:rFonts w:asciiTheme="majorHAnsi" w:eastAsia="Calibri" w:hAnsiTheme="majorHAnsi"/>
          <w:sz w:val="22"/>
          <w:szCs w:val="22"/>
          <w:lang w:eastAsia="en-US"/>
        </w:rPr>
        <w:t xml:space="preserve"> wyznaczenia obszaru zdegradowanego i obszaru rewitalizacji na terenie Gminy Aleksandrów Kujawski</w:t>
      </w:r>
      <w:r>
        <w:rPr>
          <w:rFonts w:asciiTheme="majorHAnsi" w:eastAsia="Calibri" w:hAnsiTheme="majorHAnsi"/>
          <w:sz w:val="22"/>
          <w:szCs w:val="22"/>
          <w:lang w:eastAsia="en-US"/>
        </w:rPr>
        <w:t>.</w:t>
      </w:r>
    </w:p>
    <w:p w:rsidR="005C186E" w:rsidRPr="005C186E" w:rsidRDefault="005C186E" w:rsidP="005C186E">
      <w:pPr>
        <w:ind w:firstLine="708"/>
        <w:jc w:val="both"/>
        <w:rPr>
          <w:rFonts w:asciiTheme="majorHAnsi" w:eastAsia="Calibri" w:hAnsiTheme="majorHAnsi"/>
          <w:sz w:val="22"/>
          <w:szCs w:val="22"/>
          <w:lang w:eastAsia="en-US"/>
        </w:rPr>
      </w:pPr>
      <w:bookmarkStart w:id="0" w:name="_GoBack"/>
      <w:bookmarkEnd w:id="0"/>
    </w:p>
    <w:p w:rsidR="005C186E" w:rsidRPr="005C186E" w:rsidRDefault="005C186E" w:rsidP="005C186E">
      <w:pPr>
        <w:ind w:firstLine="708"/>
        <w:jc w:val="both"/>
        <w:rPr>
          <w:rFonts w:asciiTheme="majorHAnsi" w:eastAsia="Calibri" w:hAnsiTheme="majorHAnsi"/>
          <w:sz w:val="22"/>
          <w:szCs w:val="22"/>
          <w:lang w:eastAsia="en-US"/>
        </w:rPr>
      </w:pPr>
      <w:r w:rsidRPr="005C186E">
        <w:rPr>
          <w:rFonts w:asciiTheme="majorHAnsi" w:eastAsia="Calibri" w:hAnsiTheme="majorHAnsi"/>
          <w:sz w:val="22"/>
          <w:szCs w:val="22"/>
          <w:lang w:eastAsia="en-US"/>
        </w:rPr>
        <w:t>W celu opracowania Gminnego Programu Rewitalizacji konieczne jest określenie obszarów kryzysowych (zdegradowanych) na terenie gminy. W tym celu przeprowadzona została diagnoza społeczno-gospodarczo-przestrzenna jednostek gminy (sołectw). Przeprowadzona diagnoza pozwoliła określić zróżnicowanie wewnętrzne gminy i wykazać obszary, które, ze względu na wysokie nagromadzenie negatywnych zjawisk społecznych, gospodarczych czy przestrzennych, powinny zostać objęte wsparciem w ramach GPR.</w:t>
      </w:r>
    </w:p>
    <w:p w:rsidR="005C186E" w:rsidRPr="005C186E" w:rsidRDefault="005C186E" w:rsidP="005C186E">
      <w:pPr>
        <w:ind w:firstLine="708"/>
        <w:jc w:val="both"/>
        <w:rPr>
          <w:rFonts w:asciiTheme="majorHAnsi" w:eastAsia="Calibri" w:hAnsiTheme="majorHAnsi"/>
          <w:sz w:val="22"/>
          <w:szCs w:val="22"/>
          <w:lang w:eastAsia="en-US"/>
        </w:rPr>
      </w:pPr>
    </w:p>
    <w:p w:rsidR="005C186E" w:rsidRPr="005C186E" w:rsidRDefault="005C186E" w:rsidP="005C186E">
      <w:pPr>
        <w:ind w:firstLine="708"/>
        <w:jc w:val="both"/>
        <w:rPr>
          <w:rFonts w:asciiTheme="majorHAnsi" w:eastAsia="Calibri" w:hAnsiTheme="majorHAnsi"/>
          <w:sz w:val="22"/>
          <w:szCs w:val="22"/>
          <w:lang w:eastAsia="en-US"/>
        </w:rPr>
      </w:pPr>
      <w:r w:rsidRPr="005C186E">
        <w:rPr>
          <w:rFonts w:asciiTheme="majorHAnsi" w:eastAsia="Calibri" w:hAnsiTheme="majorHAnsi"/>
          <w:sz w:val="22"/>
          <w:szCs w:val="22"/>
          <w:lang w:eastAsia="en-US"/>
        </w:rPr>
        <w:t>Gminny Program Rewitalizacji to dokument, który programuje proces rewitalizacji na tych obszarach gminy, na których stwierdzono największe nasilenie negatywnych zjawisk. Działania rewitalizacyjne zaplanowane na obszarach zdegradowanych, które zostaną wpisane do Gminnego Programu Rewitalizacji mają szansę na uzyskanie zewnętrznego finansowania, m.in. z funduszy UE.</w:t>
      </w:r>
    </w:p>
    <w:p w:rsidR="005C186E" w:rsidRPr="005C186E" w:rsidRDefault="005C186E" w:rsidP="005C186E">
      <w:pPr>
        <w:ind w:firstLine="708"/>
        <w:jc w:val="both"/>
        <w:rPr>
          <w:rFonts w:asciiTheme="majorHAnsi" w:eastAsia="Calibri" w:hAnsiTheme="majorHAnsi"/>
          <w:sz w:val="22"/>
          <w:szCs w:val="22"/>
          <w:lang w:eastAsia="en-US"/>
        </w:rPr>
      </w:pPr>
    </w:p>
    <w:p w:rsidR="005C186E" w:rsidRDefault="005C186E" w:rsidP="005C186E">
      <w:pPr>
        <w:ind w:firstLine="708"/>
        <w:jc w:val="both"/>
        <w:rPr>
          <w:rFonts w:asciiTheme="majorHAnsi" w:eastAsia="Calibri" w:hAnsiTheme="majorHAnsi"/>
          <w:sz w:val="22"/>
          <w:szCs w:val="22"/>
          <w:lang w:eastAsia="en-US"/>
        </w:rPr>
      </w:pPr>
      <w:r w:rsidRPr="005C186E">
        <w:rPr>
          <w:rFonts w:asciiTheme="majorHAnsi" w:eastAsia="Calibri" w:hAnsiTheme="majorHAnsi"/>
          <w:sz w:val="22"/>
          <w:szCs w:val="22"/>
          <w:lang w:eastAsia="en-US"/>
        </w:rPr>
        <w:t xml:space="preserve">Mając na względzie powyższe </w:t>
      </w:r>
      <w:r>
        <w:rPr>
          <w:rFonts w:asciiTheme="majorHAnsi" w:eastAsia="Calibri" w:hAnsiTheme="majorHAnsi"/>
          <w:sz w:val="22"/>
          <w:szCs w:val="22"/>
          <w:lang w:eastAsia="en-US"/>
        </w:rPr>
        <w:t>z</w:t>
      </w:r>
      <w:r w:rsidRPr="005C186E">
        <w:rPr>
          <w:rFonts w:asciiTheme="majorHAnsi" w:eastAsia="Calibri" w:hAnsiTheme="majorHAnsi"/>
          <w:sz w:val="22"/>
          <w:szCs w:val="22"/>
          <w:lang w:eastAsia="en-US"/>
        </w:rPr>
        <w:t>achęcamy do czynnego udziału mieszkańców w planowanych konsultacjach oraz zgłaszania uwag do przeprowadzonej diagnozy społeczno-gospodarczo-przestrzennej gminy oraz wyznaczonych obszarów zdegradowanych i obszarów do rewitalizacji.</w:t>
      </w:r>
    </w:p>
    <w:p w:rsidR="005C186E" w:rsidRPr="005C186E" w:rsidRDefault="005C186E" w:rsidP="005C186E">
      <w:pPr>
        <w:ind w:firstLine="708"/>
        <w:jc w:val="both"/>
        <w:rPr>
          <w:rFonts w:asciiTheme="majorHAnsi" w:eastAsia="Calibri" w:hAnsiTheme="majorHAnsi"/>
          <w:i/>
          <w:sz w:val="22"/>
          <w:szCs w:val="22"/>
          <w:lang w:eastAsia="en-US"/>
        </w:rPr>
      </w:pPr>
    </w:p>
    <w:p w:rsidR="005C186E" w:rsidRPr="005C186E" w:rsidRDefault="005C186E" w:rsidP="005C186E">
      <w:pPr>
        <w:suppressAutoHyphens w:val="0"/>
        <w:jc w:val="both"/>
        <w:rPr>
          <w:rFonts w:asciiTheme="majorHAnsi" w:eastAsia="Calibri" w:hAnsiTheme="majorHAnsi"/>
          <w:sz w:val="22"/>
          <w:szCs w:val="22"/>
          <w:lang w:eastAsia="en-US"/>
        </w:rPr>
      </w:pPr>
      <w:r w:rsidRPr="005C186E">
        <w:rPr>
          <w:rFonts w:asciiTheme="majorHAnsi" w:eastAsia="Calibri" w:hAnsiTheme="majorHAnsi"/>
          <w:sz w:val="22"/>
          <w:szCs w:val="22"/>
          <w:lang w:eastAsia="en-US"/>
        </w:rPr>
        <w:t xml:space="preserve"> </w:t>
      </w:r>
      <w:r w:rsidRPr="005C186E">
        <w:rPr>
          <w:rFonts w:asciiTheme="majorHAnsi" w:eastAsia="Calibri" w:hAnsiTheme="majorHAnsi"/>
          <w:sz w:val="22"/>
          <w:szCs w:val="22"/>
          <w:lang w:eastAsia="en-US"/>
        </w:rPr>
        <w:tab/>
        <w:t xml:space="preserve">Celem konsultacji jest przede wszystkim zasięgnięcie opinii mieszkańców, którzy stanowią głos doradczy w tym projekcie. Zgłoszone uwagi będą mieć wpływ na dalszy kierunek działań w opracowywanym </w:t>
      </w:r>
      <w:r>
        <w:rPr>
          <w:rFonts w:asciiTheme="majorHAnsi" w:eastAsia="Calibri" w:hAnsiTheme="majorHAnsi"/>
          <w:sz w:val="22"/>
          <w:szCs w:val="22"/>
          <w:lang w:eastAsia="en-US"/>
        </w:rPr>
        <w:t>Programie Rewitalizacji</w:t>
      </w:r>
      <w:r w:rsidRPr="005C186E">
        <w:rPr>
          <w:rFonts w:asciiTheme="majorHAnsi" w:eastAsia="Calibri" w:hAnsiTheme="majorHAnsi"/>
          <w:sz w:val="22"/>
          <w:szCs w:val="22"/>
          <w:lang w:eastAsia="en-US"/>
        </w:rPr>
        <w:t xml:space="preserve">.           </w:t>
      </w:r>
    </w:p>
    <w:p w:rsidR="005C186E" w:rsidRDefault="005C186E" w:rsidP="005C186E">
      <w:pPr>
        <w:suppressAutoHyphens w:val="0"/>
        <w:ind w:firstLine="708"/>
        <w:jc w:val="both"/>
        <w:rPr>
          <w:rFonts w:asciiTheme="majorHAnsi" w:eastAsia="Calibri" w:hAnsiTheme="majorHAnsi"/>
          <w:sz w:val="22"/>
          <w:szCs w:val="22"/>
          <w:lang w:eastAsia="en-US"/>
        </w:rPr>
      </w:pPr>
    </w:p>
    <w:p w:rsidR="005C186E" w:rsidRPr="005C186E" w:rsidRDefault="005C186E" w:rsidP="005C186E">
      <w:pPr>
        <w:suppressAutoHyphens w:val="0"/>
        <w:ind w:firstLine="708"/>
        <w:jc w:val="both"/>
        <w:rPr>
          <w:rFonts w:asciiTheme="majorHAnsi" w:eastAsia="Calibri" w:hAnsiTheme="majorHAnsi"/>
          <w:sz w:val="22"/>
          <w:szCs w:val="22"/>
          <w:lang w:eastAsia="en-US"/>
        </w:rPr>
      </w:pPr>
      <w:r w:rsidRPr="005C186E">
        <w:rPr>
          <w:rFonts w:asciiTheme="majorHAnsi" w:eastAsia="Calibri" w:hAnsiTheme="majorHAnsi"/>
          <w:sz w:val="22"/>
          <w:szCs w:val="22"/>
          <w:lang w:eastAsia="en-US"/>
        </w:rPr>
        <w:t>Wnioski i uwagi można składać pisemnie na adres Urzędu Gminy Aleksandrów Kujawski ustnie do protokołu w siedzibie Urzędu i za pomocą środków komunikacji elektronicznej na adres poczty elektronicznej</w:t>
      </w:r>
      <w:r w:rsidR="00C41756">
        <w:rPr>
          <w:rFonts w:asciiTheme="majorHAnsi" w:eastAsia="Calibri" w:hAnsiTheme="majorHAnsi"/>
          <w:sz w:val="22"/>
          <w:szCs w:val="22"/>
          <w:lang w:eastAsia="en-US"/>
        </w:rPr>
        <w:t>:</w:t>
      </w:r>
      <w:r w:rsidRPr="005C186E">
        <w:rPr>
          <w:rFonts w:asciiTheme="majorHAnsi" w:eastAsia="Calibri" w:hAnsiTheme="majorHAnsi"/>
          <w:sz w:val="22"/>
          <w:szCs w:val="22"/>
          <w:lang w:eastAsia="en-US"/>
        </w:rPr>
        <w:t xml:space="preserve"> </w:t>
      </w:r>
      <w:hyperlink r:id="rId6" w:history="1">
        <w:r w:rsidR="00C41756" w:rsidRPr="005500C8">
          <w:rPr>
            <w:rStyle w:val="Hipercze"/>
            <w:rFonts w:asciiTheme="majorHAnsi" w:eastAsia="Calibri" w:hAnsiTheme="majorHAnsi"/>
            <w:sz w:val="22"/>
            <w:szCs w:val="22"/>
            <w:lang w:eastAsia="en-US"/>
          </w:rPr>
          <w:t>rewitalizacja@gmina-aleksandrowkujawski.pl</w:t>
        </w:r>
      </w:hyperlink>
      <w:r w:rsidR="00C41756">
        <w:rPr>
          <w:rFonts w:asciiTheme="majorHAnsi" w:eastAsia="Calibri" w:hAnsiTheme="majorHAnsi"/>
          <w:sz w:val="22"/>
          <w:szCs w:val="22"/>
          <w:lang w:eastAsia="en-US"/>
        </w:rPr>
        <w:t xml:space="preserve">. </w:t>
      </w:r>
      <w:r w:rsidRPr="005C186E">
        <w:rPr>
          <w:rFonts w:asciiTheme="majorHAnsi" w:eastAsia="Calibri" w:hAnsiTheme="majorHAnsi"/>
          <w:sz w:val="22"/>
          <w:szCs w:val="22"/>
          <w:lang w:eastAsia="en-US"/>
        </w:rPr>
        <w:t xml:space="preserve"> </w:t>
      </w:r>
      <w:r w:rsidRPr="00C41756">
        <w:rPr>
          <w:rFonts w:asciiTheme="majorHAnsi" w:eastAsia="Calibri" w:hAnsiTheme="majorHAnsi"/>
          <w:b/>
          <w:sz w:val="22"/>
          <w:szCs w:val="22"/>
          <w:lang w:eastAsia="en-US"/>
        </w:rPr>
        <w:t xml:space="preserve">do </w:t>
      </w:r>
      <w:r w:rsidR="00C41756" w:rsidRPr="00C41756">
        <w:rPr>
          <w:rFonts w:asciiTheme="majorHAnsi" w:eastAsia="Calibri" w:hAnsiTheme="majorHAnsi"/>
          <w:b/>
          <w:sz w:val="22"/>
          <w:szCs w:val="22"/>
          <w:lang w:eastAsia="en-US"/>
        </w:rPr>
        <w:t>01-08-2016</w:t>
      </w:r>
    </w:p>
    <w:p w:rsidR="005C186E" w:rsidRDefault="005C186E" w:rsidP="005C186E">
      <w:pPr>
        <w:suppressAutoHyphens w:val="0"/>
        <w:jc w:val="both"/>
        <w:rPr>
          <w:rFonts w:asciiTheme="majorHAnsi" w:eastAsia="Calibri" w:hAnsiTheme="majorHAnsi"/>
          <w:sz w:val="22"/>
          <w:szCs w:val="22"/>
          <w:lang w:eastAsia="en-US"/>
        </w:rPr>
      </w:pPr>
      <w:r w:rsidRPr="005C186E">
        <w:rPr>
          <w:rFonts w:asciiTheme="majorHAnsi" w:eastAsia="Calibri" w:hAnsiTheme="majorHAnsi"/>
          <w:sz w:val="22"/>
          <w:szCs w:val="22"/>
          <w:lang w:eastAsia="en-US"/>
        </w:rPr>
        <w:t xml:space="preserve">         </w:t>
      </w:r>
    </w:p>
    <w:p w:rsidR="005C186E" w:rsidRPr="005C186E" w:rsidRDefault="005C186E" w:rsidP="005C186E">
      <w:pPr>
        <w:suppressAutoHyphens w:val="0"/>
        <w:jc w:val="both"/>
        <w:rPr>
          <w:rFonts w:asciiTheme="majorHAnsi" w:eastAsia="Calibri" w:hAnsiTheme="majorHAnsi"/>
          <w:sz w:val="22"/>
          <w:szCs w:val="22"/>
          <w:lang w:eastAsia="en-US"/>
        </w:rPr>
      </w:pPr>
      <w:r w:rsidRPr="005C186E">
        <w:rPr>
          <w:rFonts w:asciiTheme="majorHAnsi" w:eastAsia="Calibri" w:hAnsiTheme="majorHAnsi"/>
          <w:sz w:val="22"/>
          <w:szCs w:val="22"/>
          <w:lang w:eastAsia="en-US"/>
        </w:rPr>
        <w:t xml:space="preserve">      Organem właściwym do rozpatrzenia uwag i wniosków jest Wójt Gminy Aleksandrów Kujawski.</w:t>
      </w:r>
    </w:p>
    <w:p w:rsidR="005C186E" w:rsidRPr="005C186E" w:rsidRDefault="005C186E" w:rsidP="005C186E">
      <w:pPr>
        <w:suppressAutoHyphens w:val="0"/>
        <w:spacing w:line="360" w:lineRule="auto"/>
        <w:jc w:val="both"/>
        <w:rPr>
          <w:rFonts w:asciiTheme="majorHAnsi" w:eastAsia="Calibri" w:hAnsiTheme="majorHAnsi"/>
          <w:sz w:val="22"/>
          <w:szCs w:val="22"/>
          <w:lang w:eastAsia="en-US"/>
        </w:rPr>
      </w:pPr>
      <w:r w:rsidRPr="005C186E">
        <w:rPr>
          <w:rFonts w:asciiTheme="majorHAnsi" w:eastAsia="Calibri" w:hAnsiTheme="majorHAnsi"/>
          <w:sz w:val="22"/>
          <w:szCs w:val="22"/>
          <w:lang w:eastAsia="en-US"/>
        </w:rPr>
        <w:t xml:space="preserve"> </w:t>
      </w:r>
    </w:p>
    <w:p w:rsidR="005C186E" w:rsidRPr="005C186E" w:rsidRDefault="005C186E" w:rsidP="005C186E">
      <w:pPr>
        <w:suppressAutoHyphens w:val="0"/>
        <w:jc w:val="both"/>
        <w:rPr>
          <w:rFonts w:asciiTheme="majorHAnsi" w:eastAsia="Calibri" w:hAnsiTheme="majorHAnsi"/>
          <w:sz w:val="22"/>
          <w:szCs w:val="22"/>
          <w:lang w:eastAsia="en-US"/>
        </w:rPr>
      </w:pPr>
      <w:r w:rsidRPr="005C186E">
        <w:rPr>
          <w:rFonts w:asciiTheme="majorHAnsi" w:eastAsia="Calibri" w:hAnsiTheme="majorHAnsi"/>
          <w:sz w:val="22"/>
          <w:szCs w:val="22"/>
          <w:lang w:eastAsia="en-US"/>
        </w:rPr>
        <w:t xml:space="preserve">Obwieszczenie umieszczono na: </w:t>
      </w:r>
    </w:p>
    <w:p w:rsidR="005C186E" w:rsidRPr="005C186E" w:rsidRDefault="005C186E" w:rsidP="005C186E">
      <w:pPr>
        <w:suppressAutoHyphens w:val="0"/>
        <w:jc w:val="both"/>
        <w:rPr>
          <w:rFonts w:asciiTheme="majorHAnsi" w:eastAsia="Calibri" w:hAnsiTheme="majorHAnsi"/>
          <w:sz w:val="22"/>
          <w:szCs w:val="22"/>
          <w:lang w:eastAsia="en-US"/>
        </w:rPr>
      </w:pPr>
      <w:r w:rsidRPr="005C186E">
        <w:rPr>
          <w:rFonts w:asciiTheme="majorHAnsi" w:eastAsia="Calibri" w:hAnsiTheme="majorHAnsi"/>
          <w:sz w:val="22"/>
          <w:szCs w:val="22"/>
          <w:lang w:eastAsia="en-US"/>
        </w:rPr>
        <w:t>1.  tablicy ogłoszeń UG Aleksandrów Kujawski</w:t>
      </w:r>
    </w:p>
    <w:p w:rsidR="005C186E" w:rsidRDefault="005C186E" w:rsidP="005C186E">
      <w:pPr>
        <w:suppressAutoHyphens w:val="0"/>
        <w:jc w:val="both"/>
        <w:rPr>
          <w:rFonts w:asciiTheme="majorHAnsi" w:eastAsia="Calibri" w:hAnsiTheme="majorHAnsi"/>
          <w:sz w:val="22"/>
          <w:szCs w:val="22"/>
          <w:lang w:eastAsia="en-US"/>
        </w:rPr>
      </w:pPr>
      <w:r w:rsidRPr="005C186E">
        <w:rPr>
          <w:rFonts w:asciiTheme="majorHAnsi" w:eastAsia="Calibri" w:hAnsiTheme="majorHAnsi"/>
          <w:sz w:val="22"/>
          <w:szCs w:val="22"/>
          <w:lang w:eastAsia="en-US"/>
        </w:rPr>
        <w:t xml:space="preserve">2.  stronie internetowej: </w:t>
      </w:r>
      <w:hyperlink r:id="rId7" w:history="1">
        <w:r w:rsidRPr="00D02090">
          <w:rPr>
            <w:rStyle w:val="Hipercze"/>
            <w:rFonts w:asciiTheme="majorHAnsi" w:eastAsia="Calibri" w:hAnsiTheme="majorHAnsi"/>
            <w:sz w:val="22"/>
            <w:szCs w:val="22"/>
            <w:lang w:eastAsia="en-US"/>
          </w:rPr>
          <w:t>www.gmina-aleksandrowkujawski.pl</w:t>
        </w:r>
      </w:hyperlink>
      <w:r w:rsidRPr="005C186E">
        <w:rPr>
          <w:rFonts w:asciiTheme="majorHAnsi" w:eastAsia="Calibri" w:hAnsiTheme="majorHAnsi"/>
          <w:sz w:val="22"/>
          <w:szCs w:val="22"/>
          <w:lang w:eastAsia="en-US"/>
        </w:rPr>
        <w:t>.</w:t>
      </w:r>
    </w:p>
    <w:p w:rsidR="005C186E" w:rsidRPr="005C186E" w:rsidRDefault="005C186E" w:rsidP="005C186E">
      <w:pPr>
        <w:suppressAutoHyphens w:val="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3. </w:t>
      </w:r>
      <w:r w:rsidR="00C41756">
        <w:rPr>
          <w:rFonts w:asciiTheme="majorHAnsi" w:eastAsia="Calibri" w:hAnsiTheme="majorHAnsi"/>
          <w:sz w:val="22"/>
          <w:szCs w:val="22"/>
          <w:lang w:eastAsia="en-US"/>
        </w:rPr>
        <w:t xml:space="preserve"> </w:t>
      </w:r>
      <w:r>
        <w:rPr>
          <w:rFonts w:asciiTheme="majorHAnsi" w:eastAsia="Calibri" w:hAnsiTheme="majorHAnsi"/>
          <w:sz w:val="22"/>
          <w:szCs w:val="22"/>
          <w:lang w:eastAsia="en-US"/>
        </w:rPr>
        <w:t>BIP</w:t>
      </w:r>
    </w:p>
    <w:p w:rsidR="005C186E" w:rsidRPr="005C186E" w:rsidRDefault="005C186E" w:rsidP="005C186E">
      <w:pPr>
        <w:suppressAutoHyphens w:val="0"/>
        <w:jc w:val="both"/>
        <w:rPr>
          <w:rFonts w:asciiTheme="majorHAnsi" w:eastAsia="Calibri" w:hAnsiTheme="majorHAnsi"/>
          <w:sz w:val="22"/>
          <w:szCs w:val="22"/>
          <w:lang w:eastAsia="en-US"/>
        </w:rPr>
      </w:pPr>
      <w:r w:rsidRPr="005C186E">
        <w:rPr>
          <w:rFonts w:asciiTheme="majorHAnsi" w:eastAsia="Calibri" w:hAnsiTheme="majorHAnsi"/>
          <w:sz w:val="22"/>
          <w:szCs w:val="22"/>
          <w:lang w:eastAsia="en-US"/>
        </w:rPr>
        <w:t xml:space="preserve">3.  a/a </w:t>
      </w:r>
    </w:p>
    <w:p w:rsidR="005C186E" w:rsidRPr="005C186E" w:rsidRDefault="005C186E" w:rsidP="005C186E">
      <w:pPr>
        <w:suppressAutoHyphens w:val="0"/>
        <w:spacing w:line="360" w:lineRule="auto"/>
        <w:jc w:val="both"/>
        <w:rPr>
          <w:rFonts w:asciiTheme="majorHAnsi" w:eastAsia="Calibri" w:hAnsiTheme="majorHAnsi"/>
          <w:sz w:val="22"/>
          <w:szCs w:val="22"/>
          <w:lang w:eastAsia="en-US"/>
        </w:rPr>
      </w:pPr>
    </w:p>
    <w:p w:rsidR="005C186E" w:rsidRPr="005C186E" w:rsidRDefault="005C186E" w:rsidP="005C186E">
      <w:pPr>
        <w:suppressAutoHyphens w:val="0"/>
        <w:spacing w:line="360" w:lineRule="auto"/>
        <w:jc w:val="both"/>
        <w:rPr>
          <w:rFonts w:asciiTheme="majorHAnsi" w:eastAsia="Calibri" w:hAnsiTheme="majorHAnsi"/>
          <w:sz w:val="22"/>
          <w:szCs w:val="22"/>
          <w:lang w:eastAsia="en-US"/>
        </w:rPr>
      </w:pPr>
    </w:p>
    <w:p w:rsidR="005C186E" w:rsidRPr="005C186E" w:rsidRDefault="005C186E" w:rsidP="005C186E">
      <w:pPr>
        <w:suppressAutoHyphens w:val="0"/>
        <w:spacing w:line="360" w:lineRule="auto"/>
        <w:jc w:val="right"/>
        <w:rPr>
          <w:rFonts w:asciiTheme="majorHAnsi" w:eastAsia="Calibri" w:hAnsiTheme="majorHAnsi"/>
          <w:sz w:val="22"/>
          <w:szCs w:val="22"/>
          <w:lang w:eastAsia="en-US"/>
        </w:rPr>
      </w:pPr>
      <w:r w:rsidRPr="005C186E">
        <w:rPr>
          <w:rFonts w:asciiTheme="majorHAnsi" w:eastAsia="Calibri" w:hAnsiTheme="majorHAnsi"/>
          <w:sz w:val="22"/>
          <w:szCs w:val="22"/>
          <w:lang w:eastAsia="en-US"/>
        </w:rPr>
        <w:t>Wójt Gminy Aleksandrów Kujawski</w:t>
      </w:r>
    </w:p>
    <w:p w:rsidR="005C186E" w:rsidRPr="005C186E" w:rsidRDefault="005C186E" w:rsidP="005C186E">
      <w:pPr>
        <w:suppressAutoHyphens w:val="0"/>
        <w:spacing w:line="360" w:lineRule="auto"/>
        <w:jc w:val="right"/>
        <w:rPr>
          <w:rFonts w:asciiTheme="majorHAnsi" w:eastAsia="Calibri" w:hAnsiTheme="majorHAnsi"/>
          <w:sz w:val="22"/>
          <w:szCs w:val="22"/>
          <w:lang w:eastAsia="en-US"/>
        </w:rPr>
      </w:pPr>
      <w:r w:rsidRPr="005C186E">
        <w:rPr>
          <w:rFonts w:asciiTheme="majorHAnsi" w:eastAsia="Calibri" w:hAnsiTheme="majorHAnsi"/>
          <w:sz w:val="22"/>
          <w:szCs w:val="22"/>
          <w:lang w:eastAsia="en-US"/>
        </w:rPr>
        <w:t>/-/ Andrzej Olszewski</w:t>
      </w:r>
    </w:p>
    <w:sectPr w:rsidR="005C186E" w:rsidRPr="005C186E">
      <w:headerReference w:type="default" r:id="rId8"/>
      <w:footerReference w:type="default" r:id="rId9"/>
      <w:pgSz w:w="11906" w:h="16838"/>
      <w:pgMar w:top="1417" w:right="1417" w:bottom="1797" w:left="1417" w:header="708" w:footer="0"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66C" w:rsidRDefault="0004366C" w:rsidP="005C186E">
      <w:r>
        <w:separator/>
      </w:r>
    </w:p>
  </w:endnote>
  <w:endnote w:type="continuationSeparator" w:id="0">
    <w:p w:rsidR="0004366C" w:rsidRDefault="0004366C" w:rsidP="005C1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5BC" w:rsidRDefault="0004366C">
    <w:pPr>
      <w:pBdr>
        <w:bottom w:val="single" w:sz="8" w:space="1" w:color="000000"/>
      </w:pBdr>
      <w:tabs>
        <w:tab w:val="right" w:pos="10206"/>
      </w:tabs>
      <w:ind w:right="72"/>
      <w:rPr>
        <w:b/>
        <w:bCs/>
        <w:spacing w:val="10"/>
        <w:sz w:val="20"/>
      </w:rPr>
    </w:pPr>
  </w:p>
  <w:p w:rsidR="005235BC" w:rsidRDefault="00B21E91">
    <w:pPr>
      <w:tabs>
        <w:tab w:val="right" w:pos="10206"/>
      </w:tabs>
      <w:rPr>
        <w:spacing w:val="10"/>
        <w:sz w:val="20"/>
      </w:rPr>
    </w:pPr>
    <w:r>
      <w:rPr>
        <w:b/>
        <w:bCs/>
        <w:spacing w:val="10"/>
        <w:sz w:val="20"/>
      </w:rPr>
      <w:t>Urząd Gminy w Aleksandrowie Kujawskim</w:t>
    </w:r>
    <w:r>
      <w:rPr>
        <w:spacing w:val="10"/>
        <w:sz w:val="20"/>
      </w:rPr>
      <w:t xml:space="preserve">                                                  tel. +48 54 282 20 59</w:t>
    </w:r>
  </w:p>
  <w:p w:rsidR="005235BC" w:rsidRDefault="00B21E91">
    <w:pPr>
      <w:tabs>
        <w:tab w:val="right" w:pos="10206"/>
      </w:tabs>
      <w:rPr>
        <w:spacing w:val="10"/>
        <w:sz w:val="20"/>
      </w:rPr>
    </w:pPr>
    <w:r>
      <w:rPr>
        <w:spacing w:val="10"/>
        <w:sz w:val="20"/>
      </w:rPr>
      <w:t>ul. Słowackiego 12                                                                                         fax. +48 54 282 20 31</w:t>
    </w:r>
  </w:p>
  <w:p w:rsidR="005235BC" w:rsidRDefault="00B21E91">
    <w:pPr>
      <w:tabs>
        <w:tab w:val="right" w:pos="10206"/>
      </w:tabs>
      <w:rPr>
        <w:spacing w:val="10"/>
        <w:sz w:val="20"/>
      </w:rPr>
    </w:pPr>
    <w:r>
      <w:rPr>
        <w:spacing w:val="10"/>
        <w:sz w:val="20"/>
      </w:rPr>
      <w:t>87–700 Aleksandrów Kujawski                                                www.gmina–aleksandrowkujawski.pl</w:t>
    </w:r>
  </w:p>
  <w:p w:rsidR="005235BC" w:rsidRDefault="00B21E91">
    <w:pPr>
      <w:tabs>
        <w:tab w:val="right" w:pos="10206"/>
      </w:tabs>
      <w:rPr>
        <w:spacing w:val="10"/>
        <w:sz w:val="20"/>
        <w:lang w:val="de-DE"/>
      </w:rPr>
    </w:pPr>
    <w:r>
      <w:rPr>
        <w:spacing w:val="10"/>
        <w:sz w:val="20"/>
      </w:rPr>
      <w:t>woj. kujawsko-pomorskie                                                   www.bip.gmina-aleksandrowkujawski.pl</w:t>
    </w:r>
  </w:p>
  <w:p w:rsidR="005235BC" w:rsidRDefault="00B21E91">
    <w:pPr>
      <w:tabs>
        <w:tab w:val="right" w:pos="10206"/>
      </w:tabs>
      <w:jc w:val="center"/>
      <w:rPr>
        <w:lang w:val="en-US"/>
      </w:rPr>
    </w:pPr>
    <w:r>
      <w:rPr>
        <w:spacing w:val="10"/>
        <w:sz w:val="20"/>
        <w:lang w:val="de-DE"/>
      </w:rPr>
      <w:t xml:space="preserve">                                                                        e–mail: sekretariat@gmina-aleksandrowkujawski.pl</w:t>
    </w:r>
  </w:p>
  <w:p w:rsidR="005235BC" w:rsidRDefault="0004366C">
    <w:pPr>
      <w:pStyle w:val="Stopk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66C" w:rsidRDefault="0004366C" w:rsidP="005C186E">
      <w:r>
        <w:separator/>
      </w:r>
    </w:p>
  </w:footnote>
  <w:footnote w:type="continuationSeparator" w:id="0">
    <w:p w:rsidR="0004366C" w:rsidRDefault="0004366C" w:rsidP="005C18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5BC" w:rsidRDefault="005C186E">
    <w:pPr>
      <w:pStyle w:val="Nagwek"/>
      <w:jc w:val="right"/>
    </w:pPr>
    <w:r>
      <w:rPr>
        <w:noProof/>
        <w:lang w:eastAsia="pl-PL"/>
      </w:rPr>
      <w:drawing>
        <wp:anchor distT="0" distB="0" distL="114935" distR="114935" simplePos="0" relativeHeight="251659264" behindDoc="1" locked="0" layoutInCell="1" allowOverlap="1">
          <wp:simplePos x="0" y="0"/>
          <wp:positionH relativeFrom="column">
            <wp:posOffset>-914400</wp:posOffset>
          </wp:positionH>
          <wp:positionV relativeFrom="paragraph">
            <wp:posOffset>-235585</wp:posOffset>
          </wp:positionV>
          <wp:extent cx="916305" cy="75057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305" cy="7505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21E91">
      <w:t xml:space="preserve"> Aleksandrów Kujawski </w:t>
    </w:r>
    <w:r>
      <w:t>2</w:t>
    </w:r>
    <w:r w:rsidR="00D31647">
      <w:t>7</w:t>
    </w:r>
    <w:r>
      <w:t>-06-2016</w:t>
    </w:r>
    <w:r w:rsidR="00B21E91">
      <w:t xml:space="preserve"> 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86E"/>
    <w:rsid w:val="0004366C"/>
    <w:rsid w:val="001F1880"/>
    <w:rsid w:val="003147CB"/>
    <w:rsid w:val="005C186E"/>
    <w:rsid w:val="006A2160"/>
    <w:rsid w:val="006C7845"/>
    <w:rsid w:val="00B21E91"/>
    <w:rsid w:val="00C41756"/>
    <w:rsid w:val="00CF2174"/>
    <w:rsid w:val="00D316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C142A3-A4B1-4193-B715-3BA91C5D3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186E"/>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5C186E"/>
    <w:pPr>
      <w:tabs>
        <w:tab w:val="center" w:pos="4536"/>
        <w:tab w:val="right" w:pos="9072"/>
      </w:tabs>
    </w:pPr>
  </w:style>
  <w:style w:type="character" w:customStyle="1" w:styleId="NagwekZnak">
    <w:name w:val="Nagłówek Znak"/>
    <w:basedOn w:val="Domylnaczcionkaakapitu"/>
    <w:link w:val="Nagwek"/>
    <w:rsid w:val="005C186E"/>
    <w:rPr>
      <w:rFonts w:ascii="Times New Roman" w:eastAsia="Times New Roman" w:hAnsi="Times New Roman" w:cs="Times New Roman"/>
      <w:sz w:val="24"/>
      <w:szCs w:val="24"/>
      <w:lang w:eastAsia="ar-SA"/>
    </w:rPr>
  </w:style>
  <w:style w:type="paragraph" w:styleId="Stopka">
    <w:name w:val="footer"/>
    <w:basedOn w:val="Normalny"/>
    <w:link w:val="StopkaZnak"/>
    <w:rsid w:val="005C186E"/>
    <w:pPr>
      <w:tabs>
        <w:tab w:val="center" w:pos="4536"/>
        <w:tab w:val="right" w:pos="9072"/>
      </w:tabs>
    </w:pPr>
  </w:style>
  <w:style w:type="character" w:customStyle="1" w:styleId="StopkaZnak">
    <w:name w:val="Stopka Znak"/>
    <w:basedOn w:val="Domylnaczcionkaakapitu"/>
    <w:link w:val="Stopka"/>
    <w:rsid w:val="005C186E"/>
    <w:rPr>
      <w:rFonts w:ascii="Times New Roman" w:eastAsia="Times New Roman" w:hAnsi="Times New Roman" w:cs="Times New Roman"/>
      <w:sz w:val="24"/>
      <w:szCs w:val="24"/>
      <w:lang w:eastAsia="ar-SA"/>
    </w:rPr>
  </w:style>
  <w:style w:type="character" w:styleId="Hipercze">
    <w:name w:val="Hyperlink"/>
    <w:basedOn w:val="Domylnaczcionkaakapitu"/>
    <w:uiPriority w:val="99"/>
    <w:unhideWhenUsed/>
    <w:rsid w:val="005C186E"/>
    <w:rPr>
      <w:color w:val="0563C1" w:themeColor="hyperlink"/>
      <w:u w:val="single"/>
    </w:rPr>
  </w:style>
  <w:style w:type="paragraph" w:styleId="Tekstdymka">
    <w:name w:val="Balloon Text"/>
    <w:basedOn w:val="Normalny"/>
    <w:link w:val="TekstdymkaZnak"/>
    <w:uiPriority w:val="99"/>
    <w:semiHidden/>
    <w:unhideWhenUsed/>
    <w:rsid w:val="003147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3147CB"/>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gmina-aleksandrowkujawski.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witalizacja@gmina-aleksandrowkujawski.p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337</Words>
  <Characters>2024</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cp:lastPrinted>2016-06-27T07:05:00Z</cp:lastPrinted>
  <dcterms:created xsi:type="dcterms:W3CDTF">2016-06-23T06:39:00Z</dcterms:created>
  <dcterms:modified xsi:type="dcterms:W3CDTF">2016-06-27T07:05:00Z</dcterms:modified>
</cp:coreProperties>
</file>