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94F6" w14:textId="0E07AE1F" w:rsidR="0051004F" w:rsidRPr="00A85098" w:rsidRDefault="00A85098" w:rsidP="00A85098">
      <w:pPr>
        <w:spacing w:before="100" w:beforeAutospacing="1" w:after="100" w:afterAutospacing="1"/>
        <w:jc w:val="center"/>
        <w:outlineLvl w:val="1"/>
        <w:rPr>
          <w:rFonts w:cstheme="minorHAnsi"/>
          <w:b/>
          <w:bCs/>
          <w:sz w:val="28"/>
          <w:szCs w:val="28"/>
        </w:rPr>
      </w:pPr>
      <w:r w:rsidRPr="00DC2AA0">
        <w:rPr>
          <w:rFonts w:cstheme="minorHAnsi"/>
          <w:b/>
          <w:bCs/>
          <w:sz w:val="28"/>
          <w:szCs w:val="28"/>
        </w:rPr>
        <w:t>KOSZTORYS OFERTOWY</w:t>
      </w:r>
      <w:r>
        <w:rPr>
          <w:rFonts w:cstheme="minorHAnsi"/>
          <w:b/>
          <w:bCs/>
          <w:sz w:val="28"/>
          <w:szCs w:val="28"/>
        </w:rPr>
        <w:t xml:space="preserve"> – </w:t>
      </w:r>
      <w:r w:rsidRPr="00DC2AA0">
        <w:rPr>
          <w:rFonts w:cstheme="minorHAnsi"/>
          <w:b/>
          <w:sz w:val="28"/>
          <w:szCs w:val="28"/>
        </w:rPr>
        <w:t xml:space="preserve">Załącznik  Nr </w:t>
      </w:r>
      <w:r>
        <w:rPr>
          <w:rFonts w:cstheme="minorHAnsi"/>
          <w:b/>
          <w:sz w:val="28"/>
          <w:szCs w:val="28"/>
        </w:rPr>
        <w:t>5</w:t>
      </w:r>
      <w:r w:rsidRPr="00DC2AA0">
        <w:rPr>
          <w:rFonts w:cstheme="minorHAnsi"/>
          <w:b/>
          <w:sz w:val="28"/>
          <w:szCs w:val="28"/>
        </w:rPr>
        <w:t xml:space="preserve"> do zapytania ofertowego</w:t>
      </w:r>
      <w:r>
        <w:rPr>
          <w:rFonts w:cstheme="minorHAnsi"/>
          <w:b/>
        </w:rPr>
        <w:t xml:space="preserve"> </w:t>
      </w:r>
    </w:p>
    <w:p w14:paraId="7BF18C96" w14:textId="4360F058" w:rsidR="009A5025" w:rsidRPr="00A85098" w:rsidRDefault="009A5025" w:rsidP="009A5025">
      <w:pPr>
        <w:spacing w:before="100" w:beforeAutospacing="1" w:after="100" w:afterAutospacing="1"/>
        <w:jc w:val="center"/>
        <w:outlineLvl w:val="1"/>
        <w:rPr>
          <w:rFonts w:cstheme="minorHAnsi"/>
        </w:rPr>
      </w:pPr>
      <w:r w:rsidRPr="00F46A0D">
        <w:rPr>
          <w:rFonts w:cstheme="minorHAnsi"/>
          <w:b/>
        </w:rPr>
        <w:t>I</w:t>
      </w:r>
      <w:r w:rsidR="00F056DA">
        <w:rPr>
          <w:rFonts w:cstheme="minorHAnsi"/>
          <w:b/>
        </w:rPr>
        <w:t>I</w:t>
      </w:r>
      <w:r w:rsidRPr="00F46A0D">
        <w:rPr>
          <w:rFonts w:cstheme="minorHAnsi"/>
          <w:b/>
        </w:rPr>
        <w:t xml:space="preserve"> część zamówienia</w:t>
      </w:r>
      <w:r>
        <w:rPr>
          <w:rFonts w:cstheme="minorHAnsi"/>
        </w:rPr>
        <w:t xml:space="preserve"> – </w:t>
      </w:r>
      <w:r w:rsidR="00A85098" w:rsidRPr="00A85098">
        <w:rPr>
          <w:rFonts w:cstheme="minorHAnsi"/>
        </w:rPr>
        <w:t>Zakup wraz z dostawą pomocy do prowadzenia zajęć opiekuńczo-wychowawczych i edukacyjnych (stanowiących wyposażenie instytucji opieki) w ramach zadania pn. „Utworzenie nowej grupy w Żłobku Bursztynek w Odolionie Gmina Aleksandrów Kujawski w ramach programu Maluch+ 2022-2029”</w:t>
      </w:r>
    </w:p>
    <w:tbl>
      <w:tblPr>
        <w:tblStyle w:val="Tabela-Siatka"/>
        <w:tblW w:w="15593" w:type="dxa"/>
        <w:tblInd w:w="-856" w:type="dxa"/>
        <w:tblLook w:val="04A0" w:firstRow="1" w:lastRow="0" w:firstColumn="1" w:lastColumn="0" w:noHBand="0" w:noVBand="1"/>
      </w:tblPr>
      <w:tblGrid>
        <w:gridCol w:w="8648"/>
        <w:gridCol w:w="850"/>
        <w:gridCol w:w="851"/>
        <w:gridCol w:w="1417"/>
        <w:gridCol w:w="822"/>
        <w:gridCol w:w="1446"/>
        <w:gridCol w:w="1559"/>
      </w:tblGrid>
      <w:tr w:rsidR="000B48E3" w:rsidRPr="00E9622A" w14:paraId="31DD0C97" w14:textId="77777777" w:rsidTr="000B48E3">
        <w:tc>
          <w:tcPr>
            <w:tcW w:w="8648" w:type="dxa"/>
          </w:tcPr>
          <w:p w14:paraId="7CAB53EB" w14:textId="77777777" w:rsidR="000B48E3" w:rsidRPr="0051004F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i wymiary przedmiotu zamówienia</w:t>
            </w:r>
          </w:p>
        </w:tc>
        <w:tc>
          <w:tcPr>
            <w:tcW w:w="850" w:type="dxa"/>
          </w:tcPr>
          <w:p w14:paraId="53BF6145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851" w:type="dxa"/>
          </w:tcPr>
          <w:p w14:paraId="70037A7E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17" w:type="dxa"/>
          </w:tcPr>
          <w:p w14:paraId="507F193A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822" w:type="dxa"/>
          </w:tcPr>
          <w:p w14:paraId="36F79DD0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</w:p>
          <w:p w14:paraId="546E02F0" w14:textId="77777777" w:rsidR="000B48E3" w:rsidRPr="003624F8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Vat %</w:t>
            </w:r>
          </w:p>
        </w:tc>
        <w:tc>
          <w:tcPr>
            <w:tcW w:w="1446" w:type="dxa"/>
          </w:tcPr>
          <w:p w14:paraId="1B738AE1" w14:textId="77777777" w:rsidR="000B48E3" w:rsidRPr="003624F8" w:rsidRDefault="000B48E3" w:rsidP="000B4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Cena łączna netto </w:t>
            </w:r>
          </w:p>
        </w:tc>
        <w:tc>
          <w:tcPr>
            <w:tcW w:w="1559" w:type="dxa"/>
          </w:tcPr>
          <w:p w14:paraId="3AA39D79" w14:textId="77777777" w:rsidR="000B48E3" w:rsidRPr="003624F8" w:rsidRDefault="000B48E3" w:rsidP="000B4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łączna brutto</w:t>
            </w:r>
          </w:p>
        </w:tc>
      </w:tr>
      <w:tr w:rsidR="008D619C" w:rsidRPr="003B7A9A" w14:paraId="0CF1DDBB" w14:textId="77777777" w:rsidTr="000B48E3">
        <w:tc>
          <w:tcPr>
            <w:tcW w:w="8648" w:type="dxa"/>
          </w:tcPr>
          <w:p w14:paraId="0838CA56" w14:textId="77777777" w:rsidR="008D619C" w:rsidRDefault="00992B95" w:rsidP="00786F9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Stolik podświetlany </w:t>
            </w:r>
          </w:p>
          <w:p w14:paraId="05B6F1AE" w14:textId="77777777" w:rsidR="00992B95" w:rsidRPr="00E927DA" w:rsidRDefault="00992B95" w:rsidP="00992B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27DA">
              <w:rPr>
                <w:rFonts w:ascii="Times New Roman" w:hAnsi="Times New Roman" w:cs="Times New Roman"/>
                <w:sz w:val="18"/>
                <w:szCs w:val="18"/>
              </w:rPr>
              <w:t>Stolik przystosowany jest do pracy na sucho i mokro. Zapewnia delikatne kolorowe lub białe światło, które można regulować za pomocą pilota. Idealny do zabaw sensorycznych. Wymiary: 45x69 cm, obszar roboczy ok 60 cm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248AC" w14:textId="77777777" w:rsidR="008D619C" w:rsidRPr="003624F8" w:rsidRDefault="00992B95" w:rsidP="00786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8ACBA0" w14:textId="77777777" w:rsidR="008D619C" w:rsidRPr="003624F8" w:rsidRDefault="00992B95" w:rsidP="00786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B26422" w14:textId="77777777" w:rsidR="008D619C" w:rsidRPr="003B7A9A" w:rsidRDefault="008D619C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B8503C" w14:textId="77777777" w:rsidR="008D619C" w:rsidRPr="003B7A9A" w:rsidRDefault="008D619C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AC625" w14:textId="77777777" w:rsidR="008D619C" w:rsidRPr="003B7A9A" w:rsidRDefault="008D619C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043B3" w14:textId="77777777" w:rsidR="008D619C" w:rsidRPr="003B7A9A" w:rsidRDefault="008D619C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992B95" w:rsidRPr="003B7A9A" w14:paraId="659A7A17" w14:textId="77777777" w:rsidTr="000B48E3">
        <w:tc>
          <w:tcPr>
            <w:tcW w:w="8648" w:type="dxa"/>
          </w:tcPr>
          <w:p w14:paraId="35D40F26" w14:textId="77777777" w:rsidR="00992B95" w:rsidRDefault="00992B95" w:rsidP="00786F9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Panel sensoryczn</w:t>
            </w:r>
            <w:r w:rsidR="00E927DA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  <w:r w:rsidR="00816655">
              <w:rPr>
                <w:rFonts w:ascii="Times New Roman" w:hAnsi="Times New Roman" w:cs="Times New Roman"/>
                <w:b/>
                <w:sz w:val="18"/>
                <w:szCs w:val="18"/>
              </w:rPr>
              <w:t>, podłogowy, podświetlany</w:t>
            </w:r>
          </w:p>
          <w:p w14:paraId="2355F1D5" w14:textId="77777777" w:rsidR="00992B95" w:rsidRPr="00E927DA" w:rsidRDefault="00E927DA" w:rsidP="00E927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27DA">
              <w:rPr>
                <w:rFonts w:ascii="Times New Roman" w:hAnsi="Times New Roman" w:cs="Times New Roman"/>
                <w:sz w:val="18"/>
                <w:szCs w:val="18"/>
              </w:rPr>
              <w:t>Pod przezroczystym tworzywem kryją się różnokolorowe, oleiste substancje, przemieszczające się i mieszające ze sobą pod wpływem nacisku dłoni lub stóp.</w:t>
            </w:r>
            <w:r w:rsidRPr="00E927DA">
              <w:rPr>
                <w:sz w:val="18"/>
                <w:szCs w:val="18"/>
              </w:rPr>
              <w:t xml:space="preserve"> </w:t>
            </w:r>
            <w:r w:rsidRPr="00E927DA">
              <w:rPr>
                <w:rFonts w:ascii="Times New Roman" w:hAnsi="Times New Roman" w:cs="Times New Roman"/>
                <w:sz w:val="18"/>
                <w:szCs w:val="18"/>
              </w:rPr>
              <w:t xml:space="preserve">Podświetlany panel sensoryczny, kolorowy, wymiary 1 </w:t>
            </w:r>
            <w:proofErr w:type="spellStart"/>
            <w:r w:rsidRPr="00E927DA"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  <w:r w:rsidRPr="00E927DA">
              <w:rPr>
                <w:rFonts w:ascii="Times New Roman" w:hAnsi="Times New Roman" w:cs="Times New Roman"/>
                <w:sz w:val="18"/>
                <w:szCs w:val="18"/>
              </w:rPr>
              <w:t>: 50x50x5 cm. Kolor: czerwony, niebieski, pomarańczowy, zielony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2B47BB" w14:textId="77777777" w:rsidR="00992B95" w:rsidRPr="003624F8" w:rsidRDefault="00E927DA" w:rsidP="00786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6B9220" w14:textId="77777777" w:rsidR="00992B95" w:rsidRPr="003624F8" w:rsidRDefault="00E927DA" w:rsidP="00786F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24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18A27" w14:textId="77777777" w:rsidR="00992B95" w:rsidRPr="003B7A9A" w:rsidRDefault="00992B95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ADBA4E" w14:textId="77777777" w:rsidR="00992B95" w:rsidRPr="003B7A9A" w:rsidRDefault="00992B95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12EC2" w14:textId="77777777" w:rsidR="00992B95" w:rsidRPr="003B7A9A" w:rsidRDefault="00992B95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B9BF3" w14:textId="77777777" w:rsidR="00992B95" w:rsidRPr="003B7A9A" w:rsidRDefault="00992B95" w:rsidP="00786F9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056DA" w:rsidRPr="003B7A9A" w14:paraId="33A398B8" w14:textId="77777777" w:rsidTr="000B48E3">
        <w:tc>
          <w:tcPr>
            <w:tcW w:w="8648" w:type="dxa"/>
          </w:tcPr>
          <w:p w14:paraId="724AA2C3" w14:textId="77777777" w:rsidR="00F056DA" w:rsidRDefault="00F056DA" w:rsidP="00F056D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Sensoryczna skrzynka manipulacyjna</w:t>
            </w:r>
          </w:p>
          <w:p w14:paraId="34530DF3" w14:textId="77777777" w:rsidR="00F056DA" w:rsidRDefault="00F056DA" w:rsidP="00F056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37DD">
              <w:rPr>
                <w:rFonts w:ascii="Times New Roman" w:hAnsi="Times New Roman" w:cs="Times New Roman"/>
                <w:sz w:val="18"/>
                <w:szCs w:val="18"/>
              </w:rPr>
              <w:t>Sensoryczna skrzynka manipulacyjna to sposób na wspieranie rozwoju kreatywności i samodzielności u dziecka, w oparciu o doświadczanie dotykiem, słuchem i wzrokiem. Różne rodzaje ruchomych elementów umożliwiają dzieciom przesuwanie, przekręcanie, naciskanie, wiązanie, otwieranie i zamykanie, dzięki czemu mogą uczyć się różnych sposobów manipulacji przedmiotami w celu osiągnięcia zamierzonego efektu. W rezultacie maluch ćwiczy spostrzegawczość, myślenie przyczynowo – skut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kowe i rozwija motorykę małą. </w:t>
            </w:r>
            <w:r w:rsidRPr="00BE37DD">
              <w:rPr>
                <w:rFonts w:ascii="Times New Roman" w:hAnsi="Times New Roman" w:cs="Times New Roman"/>
                <w:sz w:val="18"/>
                <w:szCs w:val="18"/>
              </w:rPr>
              <w:t>Skrzynka wyposażona jest w kółka ułatwiające jej przemieszczanie. Kółka można zablokować, aby skrzynka stała w miejscu. Skrzynia ma również otwieralne wiek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 i pustą przestrzeń w środku. </w:t>
            </w:r>
            <w:r w:rsidRPr="00BE37DD">
              <w:rPr>
                <w:rFonts w:ascii="Times New Roman" w:hAnsi="Times New Roman" w:cs="Times New Roman"/>
                <w:sz w:val="18"/>
                <w:szCs w:val="18"/>
              </w:rPr>
              <w:t>Produkt wykonano z drewna sosnowego. Występuje w kolorze białym z brązowymi elementami.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37DD">
              <w:rPr>
                <w:rFonts w:ascii="Times New Roman" w:hAnsi="Times New Roman" w:cs="Times New Roman"/>
                <w:sz w:val="18"/>
                <w:szCs w:val="18"/>
              </w:rPr>
              <w:t>Wymiary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skrzynki: dł. boku 30 cm  </w:t>
            </w:r>
            <w:r w:rsidRPr="00BE37DD">
              <w:rPr>
                <w:rFonts w:ascii="Times New Roman" w:hAnsi="Times New Roman" w:cs="Times New Roman"/>
                <w:sz w:val="18"/>
                <w:szCs w:val="18"/>
              </w:rPr>
              <w:t>wys. całkowita 39 cm</w:t>
            </w:r>
          </w:p>
          <w:p w14:paraId="714AE789" w14:textId="77777777" w:rsidR="00F056DA" w:rsidRPr="00BE37DD" w:rsidRDefault="00F056DA" w:rsidP="00F056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A15ED0" w14:textId="77777777" w:rsidR="00F056DA" w:rsidRDefault="00F056DA" w:rsidP="00F0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BF4F12" w14:textId="77777777" w:rsidR="00F056DA" w:rsidRDefault="00F056DA" w:rsidP="00F0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92287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BE8FB4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BAD35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0824D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056DA" w:rsidRPr="003B7A9A" w14:paraId="7EDC3350" w14:textId="77777777" w:rsidTr="000B48E3">
        <w:tc>
          <w:tcPr>
            <w:tcW w:w="8648" w:type="dxa"/>
          </w:tcPr>
          <w:p w14:paraId="26268F08" w14:textId="77777777" w:rsidR="00F056DA" w:rsidRDefault="00F056DA" w:rsidP="00F056D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Klocki, sześciany zręcznościowe </w:t>
            </w:r>
          </w:p>
          <w:p w14:paraId="3049E49F" w14:textId="77777777" w:rsidR="00F056DA" w:rsidRPr="00854FC6" w:rsidRDefault="00F056DA" w:rsidP="00F056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FC6">
              <w:rPr>
                <w:rFonts w:ascii="Times New Roman" w:hAnsi="Times New Roman" w:cs="Times New Roman"/>
                <w:sz w:val="18"/>
                <w:szCs w:val="18"/>
              </w:rPr>
              <w:t xml:space="preserve">Sześciany zręcznościowe to </w:t>
            </w:r>
            <w:r w:rsidRPr="00854FC6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zabawka edukacyjna</w:t>
            </w:r>
            <w:r w:rsidRPr="00854FC6">
              <w:rPr>
                <w:rFonts w:ascii="Times New Roman" w:hAnsi="Times New Roman" w:cs="Times New Roman"/>
                <w:sz w:val="18"/>
                <w:szCs w:val="18"/>
              </w:rPr>
              <w:t>, która składa się z zestawu 24 przezroczystych sześcianów o wymiarach 4 x 4 x 4. Wewnątrz każdej figury znajdują się zadania zręcznościowe o różnym stopniu trudności.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D482E0" w14:textId="77777777" w:rsidR="00F056DA" w:rsidRDefault="00F056DA" w:rsidP="00F0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DA06A" w14:textId="77777777" w:rsidR="00F056DA" w:rsidRDefault="00F056DA" w:rsidP="00F0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F008EE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936735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B2070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84DC4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056DA" w:rsidRPr="003B7A9A" w14:paraId="2BC04CCB" w14:textId="77777777" w:rsidTr="000B48E3">
        <w:tc>
          <w:tcPr>
            <w:tcW w:w="8648" w:type="dxa"/>
          </w:tcPr>
          <w:p w14:paraId="60A97F78" w14:textId="77777777" w:rsidR="00F056DA" w:rsidRDefault="00F056DA" w:rsidP="00F056D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Głośnik </w:t>
            </w:r>
          </w:p>
          <w:p w14:paraId="618BFEBA" w14:textId="77777777" w:rsidR="00F056DA" w:rsidRPr="00B97F54" w:rsidRDefault="00F056DA" w:rsidP="00F056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6521">
              <w:rPr>
                <w:rFonts w:ascii="Times New Roman" w:hAnsi="Times New Roman" w:cs="Times New Roman"/>
                <w:sz w:val="18"/>
                <w:szCs w:val="18"/>
              </w:rPr>
              <w:t>Wielofunkcyjne urządzenie audio to samodzielny, w pełni funkcjonalny system nagłośnieniowy - idealny w zastosowaniach mobilnych, dzięki wbudowanemu akumulatorowi wielokrotnego ładowania. Zestaw składa się z wielofunkcyjnej aktywnej kolumny głośnikowej o dużej skuteczności w trwałej obudowie ABS, dwóch mikrofonów wokalnych (w tym jednego bezprzewodowego VHF), bezprzewodowego pilota sterującego oraz okablowania (kabel zasilający z zasilaczem, kabel mikrofonu przewodowego). Funkcja Bluetooth® umożliwiająca bezprzewodowe odtwarzanie utworów z zewnętrznych urządzeń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D6521">
              <w:rPr>
                <w:rFonts w:ascii="Times New Roman" w:hAnsi="Times New Roman" w:cs="Times New Roman"/>
                <w:sz w:val="18"/>
                <w:szCs w:val="18"/>
              </w:rPr>
              <w:t xml:space="preserve"> Umożliwia ona odtwarzanie plików audio z telefonu, tabletu czy laptopa bez zbędnych połączeń przewodowych.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Moc RMS/maksymalna: 200/400W </w:t>
            </w:r>
            <w:r w:rsidRPr="006D6521">
              <w:rPr>
                <w:rFonts w:ascii="Times New Roman" w:hAnsi="Times New Roman" w:cs="Times New Roman"/>
                <w:sz w:val="18"/>
                <w:szCs w:val="18"/>
              </w:rPr>
              <w:t>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twarzacz USB MP3/WMA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80122" w14:textId="77777777" w:rsidR="00F056DA" w:rsidRDefault="00F056DA" w:rsidP="00F0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104DD7" w14:textId="77777777" w:rsidR="00F056DA" w:rsidRDefault="00F056DA" w:rsidP="00F0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871ECD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B57550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26BE8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8835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056DA" w:rsidRPr="003B7A9A" w14:paraId="51D6B064" w14:textId="77777777" w:rsidTr="000B48E3">
        <w:tc>
          <w:tcPr>
            <w:tcW w:w="8648" w:type="dxa"/>
          </w:tcPr>
          <w:p w14:paraId="0B4EE509" w14:textId="77777777" w:rsidR="00F056DA" w:rsidRPr="00B87FC0" w:rsidRDefault="00F056DA" w:rsidP="00F056D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FC0"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aptop multimedialny</w:t>
            </w:r>
          </w:p>
          <w:p w14:paraId="6CB54336" w14:textId="77777777" w:rsidR="00F056DA" w:rsidRPr="00B87FC0" w:rsidRDefault="00F056DA" w:rsidP="00F056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Min wymagania: </w:t>
            </w:r>
            <w:r w:rsidRPr="00B87FC0">
              <w:rPr>
                <w:rFonts w:ascii="Times New Roman" w:hAnsi="Times New Roman" w:cs="Times New Roman"/>
                <w:sz w:val="18"/>
                <w:szCs w:val="18"/>
              </w:rPr>
              <w:t>Wyświetlacz WVA: przekątna 15,6", rozdzielczość FHD (1920 x 1080)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powłoką przeciw odblaskową </w:t>
            </w:r>
            <w:r w:rsidRPr="00B87FC0">
              <w:rPr>
                <w:rFonts w:ascii="Times New Roman" w:hAnsi="Times New Roman" w:cs="Times New Roman"/>
                <w:sz w:val="18"/>
                <w:szCs w:val="18"/>
              </w:rPr>
              <w:t>Pamię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ć: 16GB (1x16GB) DDR4 3200MHz </w:t>
            </w:r>
            <w:r w:rsidRPr="00B87FC0">
              <w:rPr>
                <w:rFonts w:ascii="Times New Roman" w:hAnsi="Times New Roman" w:cs="Times New Roman"/>
                <w:sz w:val="18"/>
                <w:szCs w:val="18"/>
              </w:rPr>
              <w:t xml:space="preserve">Dysk: SSD </w:t>
            </w:r>
            <w:proofErr w:type="spellStart"/>
            <w:r w:rsidRPr="00B87FC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PCIe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M.2 o pojemności 512GB </w:t>
            </w:r>
            <w:r w:rsidRPr="00B87FC0">
              <w:rPr>
                <w:rFonts w:ascii="Times New Roman" w:hAnsi="Times New Roman" w:cs="Times New Roman"/>
                <w:sz w:val="18"/>
                <w:szCs w:val="18"/>
              </w:rPr>
              <w:t>Siec 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zprzewodowa: Wi-Fi,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r w:rsidRPr="00B87FC0">
              <w:rPr>
                <w:rFonts w:ascii="Times New Roman" w:hAnsi="Times New Roman" w:cs="Times New Roman"/>
                <w:sz w:val="18"/>
                <w:szCs w:val="18"/>
              </w:rPr>
              <w:t>System</w:t>
            </w:r>
            <w:proofErr w:type="spellEnd"/>
            <w:r w:rsidRPr="00B87FC0">
              <w:rPr>
                <w:rFonts w:ascii="Times New Roman" w:hAnsi="Times New Roman" w:cs="Times New Roman"/>
                <w:sz w:val="18"/>
                <w:szCs w:val="18"/>
              </w:rPr>
              <w:t xml:space="preserve"> operacyjny: Windows 11 Pro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E0709F" w14:textId="77777777" w:rsidR="00F056DA" w:rsidRDefault="00F056DA" w:rsidP="00F0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4D3CEF" w14:textId="77777777" w:rsidR="00F056DA" w:rsidRDefault="00F056DA" w:rsidP="00F0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276701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A76FED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D936A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D2BD0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056DA" w:rsidRPr="003B7A9A" w14:paraId="4B968F09" w14:textId="77777777" w:rsidTr="000B48E3">
        <w:tc>
          <w:tcPr>
            <w:tcW w:w="8648" w:type="dxa"/>
          </w:tcPr>
          <w:p w14:paraId="3439C066" w14:textId="77777777" w:rsidR="00F056DA" w:rsidRPr="004A2DD7" w:rsidRDefault="00F056DA" w:rsidP="00F056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DD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Plazmowa kula </w:t>
            </w:r>
          </w:p>
          <w:p w14:paraId="2696DB41" w14:textId="77777777" w:rsidR="00F056DA" w:rsidRPr="00531E89" w:rsidRDefault="00F056DA" w:rsidP="00F05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DD7">
              <w:rPr>
                <w:rFonts w:ascii="Times New Roman" w:hAnsi="Times New Roman" w:cs="Times New Roman"/>
                <w:sz w:val="18"/>
                <w:szCs w:val="18"/>
              </w:rPr>
              <w:t>Funkcja sterowania dźwiękiem poprzez wbudowany mikrofon (po ustawieniu przełącznika w trybie audio kula rozświetla się, gdy mikrofon zarejestruje odpowiednio głośny dźwięk). Regulowana czułość. Dotknięcie punktu na szklanym korpusie powoduje silniejsze roz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świetlenie go. wys. 24 cm śr. kuli 15 cm  </w:t>
            </w:r>
            <w:r w:rsidRPr="004A2DD7">
              <w:rPr>
                <w:rFonts w:ascii="Times New Roman" w:hAnsi="Times New Roman" w:cs="Times New Roman"/>
                <w:sz w:val="18"/>
                <w:szCs w:val="18"/>
              </w:rPr>
              <w:t>zasilacz 230 V w komplecie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60A0F" w14:textId="77777777" w:rsidR="00F056DA" w:rsidRPr="00D2373E" w:rsidRDefault="00F056DA" w:rsidP="00F0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9C92D3" w14:textId="77777777" w:rsidR="00F056DA" w:rsidRPr="00D2373E" w:rsidRDefault="00F056DA" w:rsidP="00F0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B99D63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D7DF04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3868D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DB0DA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E161D4" w:rsidRPr="003B7A9A" w14:paraId="5623FB09" w14:textId="77777777" w:rsidTr="000B48E3">
        <w:tc>
          <w:tcPr>
            <w:tcW w:w="8648" w:type="dxa"/>
          </w:tcPr>
          <w:p w14:paraId="69FA1F10" w14:textId="77777777" w:rsidR="00E161D4" w:rsidRDefault="00E161D4" w:rsidP="00E161D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Magiczna lampa</w:t>
            </w:r>
          </w:p>
          <w:p w14:paraId="3B869E00" w14:textId="77777777" w:rsidR="00E161D4" w:rsidRPr="004A2DD7" w:rsidRDefault="00E161D4" w:rsidP="00E161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5001">
              <w:rPr>
                <w:rFonts w:ascii="Times New Roman" w:hAnsi="Times New Roman" w:cs="Times New Roman"/>
                <w:sz w:val="18"/>
                <w:szCs w:val="18"/>
              </w:rPr>
              <w:t>Lampa będzie idealnym uzupełnieniem kącików relaksacyjnych czy pomieszczeń sprzyjających stymulacji i aktywizacji zmysłów. Zmieniające się kolory stymulują uwagę dziecka i wprowadzają tajemniczy nastrój. Mogą stanowić element oświetlenia w białym domku lub kryjówkach czy szafkach. Jasność i kolor światła można zmieniać dzięki pilotowi na podczerwień (działa w promieniu 4 m). Do lampy dołączono także zasilacz (czas działania naładowanego urządzenia: powyżej 8 godzin, czas ładowania: 4-8 godzin). Wyk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onana z tworzywa sztucznego. wym. 40 x 40 x 40 cm dł. kabla zasilającego 1,85 m  </w:t>
            </w:r>
            <w:r w:rsidRPr="00F05001">
              <w:rPr>
                <w:rFonts w:ascii="Times New Roman" w:hAnsi="Times New Roman" w:cs="Times New Roman"/>
                <w:sz w:val="18"/>
                <w:szCs w:val="18"/>
              </w:rPr>
              <w:t>• 16 kolorów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684323" w14:textId="77777777" w:rsidR="00E161D4" w:rsidRDefault="00E161D4" w:rsidP="00F0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E46716" w14:textId="77777777" w:rsidR="00E161D4" w:rsidRDefault="00E161D4" w:rsidP="00F0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539ADF" w14:textId="77777777" w:rsidR="00E161D4" w:rsidRPr="003B7A9A" w:rsidRDefault="00E161D4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693BB9" w14:textId="77777777" w:rsidR="00E161D4" w:rsidRPr="003B7A9A" w:rsidRDefault="00E161D4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4F276" w14:textId="77777777" w:rsidR="00E161D4" w:rsidRPr="003B7A9A" w:rsidRDefault="00E161D4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672EF" w14:textId="77777777" w:rsidR="00E161D4" w:rsidRPr="003B7A9A" w:rsidRDefault="00E161D4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F056DA" w:rsidRPr="003B7A9A" w14:paraId="7F2C3117" w14:textId="77777777" w:rsidTr="00E161D4">
        <w:tc>
          <w:tcPr>
            <w:tcW w:w="8648" w:type="dxa"/>
          </w:tcPr>
          <w:p w14:paraId="3D627BA9" w14:textId="77777777" w:rsidR="00F056DA" w:rsidRPr="00961518" w:rsidRDefault="00F056DA" w:rsidP="00F056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518">
              <w:rPr>
                <w:rFonts w:ascii="Times New Roman" w:hAnsi="Times New Roman" w:cs="Times New Roman"/>
                <w:b/>
                <w:sz w:val="18"/>
                <w:szCs w:val="18"/>
              </w:rPr>
              <w:t>Mini lampka światłowodowa</w:t>
            </w:r>
          </w:p>
          <w:p w14:paraId="062ED1BF" w14:textId="77777777" w:rsidR="00F056DA" w:rsidRPr="00F41CB6" w:rsidRDefault="00F056DA" w:rsidP="00F05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518">
              <w:rPr>
                <w:rFonts w:ascii="Times New Roman" w:hAnsi="Times New Roman" w:cs="Times New Roman"/>
                <w:sz w:val="18"/>
                <w:szCs w:val="18"/>
              </w:rPr>
              <w:t>Lampka wykonana z włókien światłowodowych, daje relaksujące, delikatne światło. 3 kolory: czerwony, niebieski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zielony  śr. 4 cm dł. 22 cm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D314D93" w14:textId="77777777" w:rsidR="00F056DA" w:rsidRDefault="00F056DA" w:rsidP="00F0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779DB4A" w14:textId="77777777" w:rsidR="00F056DA" w:rsidRDefault="00F056DA" w:rsidP="00F0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8DE8C63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CBC7806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5551A6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2A347B" w14:textId="77777777" w:rsidR="00F056DA" w:rsidRPr="003B7A9A" w:rsidRDefault="00F056DA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EB7D22" w:rsidRPr="003B7A9A" w14:paraId="2C315685" w14:textId="77777777" w:rsidTr="00DB12BD">
        <w:tc>
          <w:tcPr>
            <w:tcW w:w="12588" w:type="dxa"/>
            <w:gridSpan w:val="5"/>
            <w:tcBorders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6966BA" w14:textId="77777777" w:rsidR="00EB7D22" w:rsidRDefault="00EB7D22" w:rsidP="00EB7D2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  <w:p w14:paraId="3896D3F6" w14:textId="77777777" w:rsidR="00EB7D22" w:rsidRDefault="00EB7D22" w:rsidP="00EB7D2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115819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Wartość łączna</w:t>
            </w:r>
          </w:p>
          <w:p w14:paraId="16B1D68F" w14:textId="77777777" w:rsidR="00EB7D22" w:rsidRPr="003B7A9A" w:rsidRDefault="00EB7D22" w:rsidP="00EB7D2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0E21F" w14:textId="77777777" w:rsidR="00EB7D22" w:rsidRPr="003B7A9A" w:rsidRDefault="00EB7D22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FA59D" w14:textId="77777777" w:rsidR="00EB7D22" w:rsidRPr="003B7A9A" w:rsidRDefault="00EB7D22" w:rsidP="00F056DA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D10806" w14:textId="77777777" w:rsidR="00216C6B" w:rsidRPr="00216C6B" w:rsidRDefault="00216C6B" w:rsidP="001861B0">
      <w:pPr>
        <w:rPr>
          <w:i/>
          <w:sz w:val="20"/>
          <w:szCs w:val="20"/>
        </w:rPr>
      </w:pPr>
    </w:p>
    <w:sectPr w:rsidR="00216C6B" w:rsidRPr="00216C6B" w:rsidSect="005100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10C"/>
    <w:multiLevelType w:val="hybridMultilevel"/>
    <w:tmpl w:val="0916D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D821DF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678E"/>
    <w:multiLevelType w:val="hybridMultilevel"/>
    <w:tmpl w:val="234A26E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9BE6B52"/>
    <w:multiLevelType w:val="hybridMultilevel"/>
    <w:tmpl w:val="DA3AA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62A90"/>
    <w:multiLevelType w:val="hybridMultilevel"/>
    <w:tmpl w:val="FDD09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56AF"/>
    <w:multiLevelType w:val="hybridMultilevel"/>
    <w:tmpl w:val="9848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72192"/>
    <w:multiLevelType w:val="hybridMultilevel"/>
    <w:tmpl w:val="51F81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066CC"/>
    <w:multiLevelType w:val="hybridMultilevel"/>
    <w:tmpl w:val="B636DC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4E4263"/>
    <w:multiLevelType w:val="hybridMultilevel"/>
    <w:tmpl w:val="15A48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D4522"/>
    <w:multiLevelType w:val="hybridMultilevel"/>
    <w:tmpl w:val="FAF2C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B26EF"/>
    <w:multiLevelType w:val="hybridMultilevel"/>
    <w:tmpl w:val="BDAAC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81528"/>
    <w:multiLevelType w:val="hybridMultilevel"/>
    <w:tmpl w:val="33EA1C54"/>
    <w:lvl w:ilvl="0" w:tplc="01E8A3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D0D1E"/>
    <w:multiLevelType w:val="hybridMultilevel"/>
    <w:tmpl w:val="D536F0F4"/>
    <w:lvl w:ilvl="0" w:tplc="209C8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1C80E5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6B0AFF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11">
      <w:start w:val="1"/>
      <w:numFmt w:val="decimal"/>
      <w:lvlText w:val="%4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660436">
    <w:abstractNumId w:val="10"/>
  </w:num>
  <w:num w:numId="2" w16cid:durableId="396896925">
    <w:abstractNumId w:val="11"/>
  </w:num>
  <w:num w:numId="3" w16cid:durableId="1300379852">
    <w:abstractNumId w:val="0"/>
  </w:num>
  <w:num w:numId="4" w16cid:durableId="2050257959">
    <w:abstractNumId w:val="2"/>
  </w:num>
  <w:num w:numId="5" w16cid:durableId="35087961">
    <w:abstractNumId w:val="4"/>
  </w:num>
  <w:num w:numId="6" w16cid:durableId="2137526868">
    <w:abstractNumId w:val="7"/>
  </w:num>
  <w:num w:numId="7" w16cid:durableId="1788347620">
    <w:abstractNumId w:val="6"/>
  </w:num>
  <w:num w:numId="8" w16cid:durableId="273833356">
    <w:abstractNumId w:val="9"/>
  </w:num>
  <w:num w:numId="9" w16cid:durableId="573201940">
    <w:abstractNumId w:val="5"/>
  </w:num>
  <w:num w:numId="10" w16cid:durableId="981621084">
    <w:abstractNumId w:val="3"/>
  </w:num>
  <w:num w:numId="11" w16cid:durableId="1888292519">
    <w:abstractNumId w:val="8"/>
  </w:num>
  <w:num w:numId="12" w16cid:durableId="1026833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E5"/>
    <w:rsid w:val="00014480"/>
    <w:rsid w:val="00020E12"/>
    <w:rsid w:val="0003714E"/>
    <w:rsid w:val="0005436C"/>
    <w:rsid w:val="00062C63"/>
    <w:rsid w:val="00084DF5"/>
    <w:rsid w:val="000A6238"/>
    <w:rsid w:val="000B48E3"/>
    <w:rsid w:val="000B4C8D"/>
    <w:rsid w:val="000C4413"/>
    <w:rsid w:val="000C75C6"/>
    <w:rsid w:val="000E3FB2"/>
    <w:rsid w:val="00106B00"/>
    <w:rsid w:val="00122482"/>
    <w:rsid w:val="001510AB"/>
    <w:rsid w:val="001720B3"/>
    <w:rsid w:val="001861B0"/>
    <w:rsid w:val="001D450D"/>
    <w:rsid w:val="001D7EEC"/>
    <w:rsid w:val="00216C6B"/>
    <w:rsid w:val="00227096"/>
    <w:rsid w:val="00233C65"/>
    <w:rsid w:val="0024020B"/>
    <w:rsid w:val="00240D2F"/>
    <w:rsid w:val="00242C50"/>
    <w:rsid w:val="002C246F"/>
    <w:rsid w:val="002C4159"/>
    <w:rsid w:val="00321EA6"/>
    <w:rsid w:val="0032748C"/>
    <w:rsid w:val="00355F83"/>
    <w:rsid w:val="003624F8"/>
    <w:rsid w:val="00372619"/>
    <w:rsid w:val="0039233E"/>
    <w:rsid w:val="003932AB"/>
    <w:rsid w:val="00396604"/>
    <w:rsid w:val="003A7B21"/>
    <w:rsid w:val="003D2A1A"/>
    <w:rsid w:val="0040790C"/>
    <w:rsid w:val="00414060"/>
    <w:rsid w:val="004152FC"/>
    <w:rsid w:val="004177EE"/>
    <w:rsid w:val="00456B09"/>
    <w:rsid w:val="00470487"/>
    <w:rsid w:val="00472387"/>
    <w:rsid w:val="00486F2F"/>
    <w:rsid w:val="00490816"/>
    <w:rsid w:val="004A2DD7"/>
    <w:rsid w:val="004B6C0B"/>
    <w:rsid w:val="004E1D57"/>
    <w:rsid w:val="004F24DF"/>
    <w:rsid w:val="00501142"/>
    <w:rsid w:val="0051004F"/>
    <w:rsid w:val="0052023E"/>
    <w:rsid w:val="00531E89"/>
    <w:rsid w:val="00577088"/>
    <w:rsid w:val="00585F90"/>
    <w:rsid w:val="005B7D1C"/>
    <w:rsid w:val="005D67DE"/>
    <w:rsid w:val="00604A3A"/>
    <w:rsid w:val="00625EA0"/>
    <w:rsid w:val="0063332D"/>
    <w:rsid w:val="006B2DEF"/>
    <w:rsid w:val="006C06EF"/>
    <w:rsid w:val="006C154A"/>
    <w:rsid w:val="006C760C"/>
    <w:rsid w:val="00704700"/>
    <w:rsid w:val="00724235"/>
    <w:rsid w:val="007441C3"/>
    <w:rsid w:val="00754822"/>
    <w:rsid w:val="00773990"/>
    <w:rsid w:val="00780FD1"/>
    <w:rsid w:val="0078522D"/>
    <w:rsid w:val="00786F9C"/>
    <w:rsid w:val="00796237"/>
    <w:rsid w:val="007C0C19"/>
    <w:rsid w:val="007C6D0E"/>
    <w:rsid w:val="007C7DE5"/>
    <w:rsid w:val="007F4CAB"/>
    <w:rsid w:val="00805CEB"/>
    <w:rsid w:val="00816655"/>
    <w:rsid w:val="00854FC6"/>
    <w:rsid w:val="008B1CED"/>
    <w:rsid w:val="008B43C2"/>
    <w:rsid w:val="008C0972"/>
    <w:rsid w:val="008C5A71"/>
    <w:rsid w:val="008D619C"/>
    <w:rsid w:val="008D6E13"/>
    <w:rsid w:val="008F666D"/>
    <w:rsid w:val="009251C2"/>
    <w:rsid w:val="00956C50"/>
    <w:rsid w:val="00961518"/>
    <w:rsid w:val="00975DEC"/>
    <w:rsid w:val="00977C20"/>
    <w:rsid w:val="00992B95"/>
    <w:rsid w:val="009A5025"/>
    <w:rsid w:val="00A20AEC"/>
    <w:rsid w:val="00A53AE1"/>
    <w:rsid w:val="00A85098"/>
    <w:rsid w:val="00A923A4"/>
    <w:rsid w:val="00AE7D78"/>
    <w:rsid w:val="00AF0950"/>
    <w:rsid w:val="00B07F5B"/>
    <w:rsid w:val="00B10DDC"/>
    <w:rsid w:val="00B12E5B"/>
    <w:rsid w:val="00B849F5"/>
    <w:rsid w:val="00B97F54"/>
    <w:rsid w:val="00BA1CB0"/>
    <w:rsid w:val="00BD4D16"/>
    <w:rsid w:val="00BD5E24"/>
    <w:rsid w:val="00BD6308"/>
    <w:rsid w:val="00BE37DD"/>
    <w:rsid w:val="00C167D3"/>
    <w:rsid w:val="00C262A0"/>
    <w:rsid w:val="00C40229"/>
    <w:rsid w:val="00C565EF"/>
    <w:rsid w:val="00C876B1"/>
    <w:rsid w:val="00C968DC"/>
    <w:rsid w:val="00CB5287"/>
    <w:rsid w:val="00CB5988"/>
    <w:rsid w:val="00D3359C"/>
    <w:rsid w:val="00D410B3"/>
    <w:rsid w:val="00D42A37"/>
    <w:rsid w:val="00D44793"/>
    <w:rsid w:val="00D541E1"/>
    <w:rsid w:val="00D573FC"/>
    <w:rsid w:val="00D57484"/>
    <w:rsid w:val="00DA6F6A"/>
    <w:rsid w:val="00DB09E6"/>
    <w:rsid w:val="00DC2892"/>
    <w:rsid w:val="00DD7EE3"/>
    <w:rsid w:val="00DF4E6D"/>
    <w:rsid w:val="00E00611"/>
    <w:rsid w:val="00E10E9B"/>
    <w:rsid w:val="00E161D4"/>
    <w:rsid w:val="00E36C24"/>
    <w:rsid w:val="00E63B94"/>
    <w:rsid w:val="00E71354"/>
    <w:rsid w:val="00E927DA"/>
    <w:rsid w:val="00EA5D7D"/>
    <w:rsid w:val="00EB7D22"/>
    <w:rsid w:val="00F05001"/>
    <w:rsid w:val="00F056DA"/>
    <w:rsid w:val="00F41CB6"/>
    <w:rsid w:val="00F46A0D"/>
    <w:rsid w:val="00F51D9D"/>
    <w:rsid w:val="00F522D5"/>
    <w:rsid w:val="00F65CE8"/>
    <w:rsid w:val="00F76F95"/>
    <w:rsid w:val="00FA7D39"/>
    <w:rsid w:val="00FB69EA"/>
    <w:rsid w:val="00F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41A0"/>
  <w15:chartTrackingRefBased/>
  <w15:docId w15:val="{00DB1FA1-9A7D-4340-B709-C506A64F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C06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095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56C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6C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C5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6C6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00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004F"/>
  </w:style>
  <w:style w:type="paragraph" w:styleId="Stopka">
    <w:name w:val="footer"/>
    <w:basedOn w:val="Normalny"/>
    <w:link w:val="StopkaZnak"/>
    <w:uiPriority w:val="99"/>
    <w:unhideWhenUsed/>
    <w:rsid w:val="005100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004F"/>
  </w:style>
  <w:style w:type="character" w:customStyle="1" w:styleId="Nagwek1Znak">
    <w:name w:val="Nagłówek 1 Znak"/>
    <w:basedOn w:val="Domylnaczcionkaakapitu"/>
    <w:link w:val="Nagwek1"/>
    <w:uiPriority w:val="9"/>
    <w:rsid w:val="006C06E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3624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4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Ela</cp:lastModifiedBy>
  <cp:revision>37</cp:revision>
  <cp:lastPrinted>2023-06-30T10:06:00Z</cp:lastPrinted>
  <dcterms:created xsi:type="dcterms:W3CDTF">2023-06-29T05:54:00Z</dcterms:created>
  <dcterms:modified xsi:type="dcterms:W3CDTF">2023-07-06T11:11:00Z</dcterms:modified>
</cp:coreProperties>
</file>