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C8" w:rsidRPr="00AC00D5" w:rsidRDefault="003959C8" w:rsidP="003959C8">
      <w:pPr>
        <w:pStyle w:val="Nagwek1"/>
        <w:jc w:val="right"/>
      </w:pPr>
      <w:bookmarkStart w:id="0" w:name="_Toc7163870"/>
      <w:r w:rsidRPr="00AC00D5">
        <w:t>Załącznik nr 6 OPIS PRZEDMIOTU ZAMOWIENIA</w:t>
      </w:r>
      <w:bookmarkEnd w:id="0"/>
    </w:p>
    <w:p w:rsidR="003959C8" w:rsidRPr="00AC00D5" w:rsidRDefault="003959C8" w:rsidP="003959C8">
      <w:pPr>
        <w:spacing w:after="0" w:line="240" w:lineRule="auto"/>
        <w:jc w:val="right"/>
        <w:rPr>
          <w:rFonts w:asciiTheme="majorHAnsi" w:hAnsiTheme="majorHAnsi" w:cstheme="majorHAnsi"/>
          <w:sz w:val="28"/>
          <w:szCs w:val="28"/>
        </w:rPr>
      </w:pPr>
    </w:p>
    <w:p w:rsidR="003959C8" w:rsidRPr="00293224" w:rsidRDefault="003959C8" w:rsidP="003959C8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293224">
        <w:rPr>
          <w:rFonts w:asciiTheme="majorHAnsi" w:hAnsiTheme="majorHAnsi" w:cstheme="majorHAnsi"/>
          <w:b/>
        </w:rPr>
        <w:t>ARKUSZ KALKULACYJNY DLA ZADANIA</w:t>
      </w: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087"/>
        <w:gridCol w:w="252"/>
        <w:gridCol w:w="488"/>
        <w:gridCol w:w="7056"/>
        <w:gridCol w:w="11"/>
        <w:gridCol w:w="1371"/>
        <w:gridCol w:w="11"/>
        <w:gridCol w:w="1371"/>
        <w:gridCol w:w="11"/>
        <w:gridCol w:w="652"/>
        <w:gridCol w:w="11"/>
        <w:gridCol w:w="655"/>
        <w:gridCol w:w="11"/>
        <w:gridCol w:w="143"/>
        <w:gridCol w:w="604"/>
        <w:gridCol w:w="18"/>
        <w:gridCol w:w="11"/>
        <w:gridCol w:w="1038"/>
        <w:gridCol w:w="11"/>
      </w:tblGrid>
      <w:tr w:rsidR="003959C8" w:rsidRPr="00293224" w:rsidTr="004B11CF">
        <w:trPr>
          <w:trHeight w:val="626"/>
        </w:trPr>
        <w:tc>
          <w:tcPr>
            <w:tcW w:w="15107" w:type="dxa"/>
            <w:gridSpan w:val="20"/>
            <w:shd w:val="clear" w:color="000000" w:fill="C0C0C0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„Dostawa, instalacja i uruchomienie sprzętu komputerowego oraz multimedialnego w ramach projektu pn. „Inwestujemy w edukację II”  realizowanego w ramach RPO Województwa Kujawsko-Pomorskiego współfinansowanego przez Unię Europejską w ramach środków Europejskiego Funduszu Społecznego.</w:t>
            </w:r>
          </w:p>
        </w:tc>
      </w:tr>
      <w:tr w:rsidR="003959C8" w:rsidRPr="00293224" w:rsidTr="004B11CF">
        <w:trPr>
          <w:gridAfter w:val="1"/>
          <w:wAfter w:w="11" w:type="dxa"/>
          <w:trHeight w:val="1200"/>
        </w:trPr>
        <w:tc>
          <w:tcPr>
            <w:tcW w:w="295" w:type="dxa"/>
            <w:shd w:val="clear" w:color="auto" w:fill="auto"/>
            <w:noWrap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proofErr w:type="spellStart"/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7056" w:type="dxa"/>
            <w:shd w:val="clear" w:color="auto" w:fill="auto"/>
            <w:noWrap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szczegółowy opis</w:t>
            </w:r>
          </w:p>
        </w:tc>
        <w:tc>
          <w:tcPr>
            <w:tcW w:w="1382" w:type="dxa"/>
            <w:gridSpan w:val="2"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Nazwa szkoły/ilość dla danej placówki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kod producenta/producent/model</w:t>
            </w: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br/>
              <w:t>oraz szczegółowa specyfikacja sprzętu</w:t>
            </w:r>
          </w:p>
        </w:tc>
        <w:tc>
          <w:tcPr>
            <w:tcW w:w="663" w:type="dxa"/>
            <w:gridSpan w:val="2"/>
            <w:shd w:val="clear" w:color="auto" w:fill="auto"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666" w:type="dxa"/>
            <w:gridSpan w:val="2"/>
            <w:shd w:val="clear" w:color="auto" w:fill="auto"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cena jedn. brutto</w:t>
            </w:r>
          </w:p>
        </w:tc>
        <w:tc>
          <w:tcPr>
            <w:tcW w:w="776" w:type="dxa"/>
            <w:gridSpan w:val="4"/>
            <w:shd w:val="clear" w:color="auto" w:fill="auto"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 xml:space="preserve">wartość  ogółem netto w PLN 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3959C8" w:rsidRPr="00DF5C3E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DF5C3E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wartość  ogółem brutto w PLN</w:t>
            </w: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88" w:type="dxa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56" w:type="dxa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82" w:type="dxa"/>
            <w:gridSpan w:val="2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9</w:t>
            </w: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tablice interaktywne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C215CE" w:rsidRDefault="003959C8" w:rsidP="004B11C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Tablica interaktywna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dotykowa, optyczna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BLACK 2C 85" Nano IB-85-2C (N)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- </w:t>
            </w:r>
            <w:r w:rsidRPr="000F02D6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gwar. 24 m-ce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Głośnik do tablicy</w:t>
            </w: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2.0ch 40W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– 12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mce</w:t>
            </w:r>
            <w:proofErr w:type="spellEnd"/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gwarancji </w:t>
            </w:r>
          </w:p>
          <w:p w:rsidR="003959C8" w:rsidRDefault="003959C8" w:rsidP="004B11C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pl-PL"/>
              </w:rPr>
              <w:t>Projektor krótkoogniskowy</w:t>
            </w: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</w:t>
            </w:r>
            <w:r w:rsidRPr="000A2CD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[3100 ANSI, XGA, DLP, 10.000:1,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- 36</w:t>
            </w:r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mce</w:t>
            </w:r>
            <w:proofErr w:type="spellEnd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gwarancji</w:t>
            </w:r>
          </w:p>
          <w:p w:rsidR="003959C8" w:rsidRDefault="003959C8" w:rsidP="004B11C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Uchwyt ścienny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  <w:r w:rsidRPr="000A2CD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Uchwyt ścienny do 121,5 cm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, - </w:t>
            </w:r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12 </w:t>
            </w:r>
            <w:proofErr w:type="spellStart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mce</w:t>
            </w:r>
            <w:proofErr w:type="spellEnd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gwarancji</w:t>
            </w:r>
          </w:p>
          <w:p w:rsidR="003959C8" w:rsidRPr="000A2CD4" w:rsidRDefault="003959C8" w:rsidP="004B11C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Kabel HDMI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  <w:r w:rsidRPr="000A2CD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10m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- </w:t>
            </w:r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12 </w:t>
            </w:r>
            <w:proofErr w:type="spellStart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mce</w:t>
            </w:r>
            <w:proofErr w:type="spellEnd"/>
            <w:r w:rsidRPr="006358EF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gwarancji</w:t>
            </w:r>
          </w:p>
          <w:p w:rsidR="003959C8" w:rsidRPr="000A2CD4" w:rsidRDefault="003959C8" w:rsidP="004B11C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Kabel</w:t>
            </w: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zasilający </w:t>
            </w:r>
            <w:r w:rsidRPr="000A2CD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10m</w:t>
            </w:r>
          </w:p>
          <w:p w:rsidR="003959C8" w:rsidRPr="00124689" w:rsidRDefault="003959C8" w:rsidP="004B11CF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color w:val="FF0000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Zastosowana w tablicy technologia podczerwieni (IR) pozwala na bezproblemową i komfortową pracę 4 użytkowników jednocześnie, z założeniem, że każdy z nich może wykonywać dowolną operację na tablicy - w tym oczywiście obsługę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multigestów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(m.in.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zoomowania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rotacji, a także przewijania) - 10 punktów dotyku. Urządzenie działa w standardzie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Plug&amp;Play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pozwalając na użytkowanie zaraz po podłączeniu do komputera oraz projektora. Łatwa obsługa (palcami bądź wskaźnikiem), doskonała precyzja, jednokrotna kalibracja oraz możliwość użytkowania tablicy jako tradycyjnej tablicy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suchościeralnej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to główne cechy naszego produktu pozwalające na prowadzenie zajęć w sposób interesujący i dynamiczny. Tablica posiada w standardzie 4 pisaki, przyczepiane na prawym boku ramy. Tablica automatycznie po odczepieniu danego pisaka reaguje na jego dotyk na powierzchni. Pisaki są zdefiniowane w 3 kolorach (czerwony, niebieski i czarny), czwarty pisak służy jako gumka. Tablica dedykowana jest komputerom z systemem Windows XP, Windows Vista, Windows 7 oraz Windows 8 . Do tablicy dołączone jest oprogramowanie pozwalające m.in. na: rysowanie, transformacje, importowanie multimediów, zrzuty ekranowe, rejestrowanie wideo, zapis prezentacji do formatu PDF itp.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waga 33 kg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wym. całkowite 177,6 x 128,6 cm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wym. powierzchni roboczej 167 x 117,6 cm W zestawie: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• 4 pisaki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oprogramowanie oraz sterownik na CD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kabel USB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instrukcja obsługi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elementy do montażu na ścianie. </w:t>
            </w:r>
          </w:p>
          <w:p w:rsidR="003959C8" w:rsidRPr="00124689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FF0000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Uniwersalny uchwyt do projektorów montowany do ściany. Konstrukcja w kolorze czarnym. Wyposażony w regulowane ramiona, umożliwiające przymocowanie każdego typu projektora o wadze do 10 kg.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dystans od ściany: 85 - 135 cm                                                                                   </w:t>
            </w:r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2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Laptop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Parametry opisane w osobnej tabeli poniżej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21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3)SZKOŁA PODSTAWOWA IM.MJR HENRYKA DOBRZAŃSKIEGO "HUBALA" W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 xml:space="preserve">komputery stacjonarne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+ Monitor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Parametry opisane w osobnej tabeli poniżej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3)SZKOŁA PODSTAWOWA IM.MJR HENRYKA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16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15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program do nauki programowania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połączenie aplikacji edukacyjnej ( z blisko stu zadaniami o rosnącym poziomie trudności) i kartonowych, rozpoznawanych przez aplikację klocków służących do pisania programów91 zadań podzielonych na 10 modułów, a w nich dodawanie, odejmowanie, składanie liczb z cyfr, pisanie algorytmów, sterowanie różnymi postaciami na scenie, koncepty programistyczne: parametr, pętla, wyrażenia warunkowe, zmienna, funkcja.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Gra w wersji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edu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zapewnia dostęp do: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bazy materiałów metodycznych i rozwiązań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wysokiej jakości plansz z zadaniami, które mogą posłużyć do opracowania kart pracy lub wyświetlania na ekranie podczas zajęć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specjalnego konta "Nauczyciela", które zawiera odblokowane wszystkie zadania we wszystkich modułach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Gra do nauki programowania w wersji edukacyjnej pozwala na instalację aplikacji na 3 urządzeniach.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Zawartość pudełka: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179 kartonowych klocków do sterowania bohaterem,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plansza do układania klocków,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•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organizer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instrukcja,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kod licencyjny.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Wymagania sprzętowe: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1. Wymagania minimalne dla systemu operacyjnego Android: • Android 4.1 lub nowszy • procesor dwurdzeniowy 1.5GHz.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2. Wymagania minimalne dla systemu operacyjnego iOS 3: • iOS 8 • iPhone 5s • iPad 4 generacji lub nowszy.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3. Wymagania minimalne dla systemu operacyjnego Windows: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Windows 7/8/10 • 32/64 bit • 2GB RAM • procesor dwurdzeniowy 1.33GHz, z tylną kamerą.</w:t>
            </w:r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3)SZKOŁA PODSTAWOWA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10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20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ozoboty</w:t>
            </w:r>
            <w:proofErr w:type="spellEnd"/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robot do nauki programowania. Otwiera dzieciom drzwi do świata informatyki i edukacji STEAM (science,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technology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engineeringg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art,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maths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). Uczy poprzez zabawę i doświadczenie, rozwija myślenie logiczne i algorytmiczne, przez co rozwija w dzieciach nawyki myślowe ułatwiające im funkcjonowanie we współczesnym świecie. Sprawdza się zarówno w zadaniach indywidualnych, jak i grupowych, realizowanych w klasie lekcyjnej. Z powodzeniem może być wykorzystywany na zajęciach przyrodniczych, matematycznych, artystycznych i innych.                                                                                                                                                           1 x nakładka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1 x etui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1 x kabel USB do ładowania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1 x karta kodów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1 x instrukcja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Gwarancja 12 m-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cy</w:t>
            </w:r>
            <w:proofErr w:type="spellEnd"/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18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6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18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18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robot</w:t>
            </w:r>
            <w:r>
              <w:t xml:space="preserve"> - </w:t>
            </w:r>
            <w:r w:rsidRPr="00AC00D5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urządzeni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e</w:t>
            </w:r>
            <w:r w:rsidRPr="00AC00D5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 xml:space="preserve"> służące do nauki robotyki i programowania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056" w:type="dxa"/>
            <w:shd w:val="clear" w:color="auto" w:fill="auto"/>
            <w:noWrap/>
          </w:tcPr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Opis techniczny płyty głównej robota: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Wymiary głównej płyty drukowanej z elementami (PCBA) - 110x80,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Kolor PCBA - czerwony,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Technologia montażu - montaż powierzchniowy,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Metoda montażu - przylutowane na stałe,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Wsparcie dla modeli A,B i B+ - Tak, 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Zasilanie - baterie 6xAA,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Monitoring baterii - tak,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 linii - tak,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RGB </w:t>
            </w:r>
            <w:proofErr w:type="spellStart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KEDs</w:t>
            </w:r>
            <w:proofErr w:type="spellEnd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- 4 pary, sprzętowe z regulacją sygnału,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 ultradźwiękowy - tak,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 linii - tak,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lastRenderedPageBreak/>
              <w:t>Czujnik IR - tak, 3 z technologią przeciwodblaskową,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Koła - 65 mm, żółte,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Mechanizm </w:t>
            </w:r>
            <w:proofErr w:type="spellStart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servo</w:t>
            </w:r>
            <w:proofErr w:type="spellEnd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- tak, 3 sprzętowa z regulacja sygnału,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Złącze I2C - Tak,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Wskaźniki LED dla czujników podczerwieni -tak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Przełożenia motoreduktorów - 120:1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podłączenie silnika - Plug &amp; </w:t>
            </w:r>
            <w:proofErr w:type="spellStart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Socket</w:t>
            </w:r>
            <w:proofErr w:type="spellEnd"/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podłączenie zasilania - Plug &amp; </w:t>
            </w:r>
            <w:proofErr w:type="spellStart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Socket</w:t>
            </w:r>
            <w:proofErr w:type="spellEnd"/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.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śledzenie linii, czujnik ultradźwięków, diody LED RGB, silniki, czujnik światła)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Czujniki danych wejściowych pozwalają użytkownikowi kontrolować zmienne, takie jak odległość i światło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Interakcja poprzez Wi-Fi albo wczytanie programu bezpośrednio przez port USB 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Przykładowe programy w zestawie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Karta Micro SD i adapter (z wstępnie załadowanym oprogramowaniem)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Karta sieciową Wi-Fi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Pendrive 4GB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 akumulatorów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Ładowarka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Gwarancja – 12 </w:t>
            </w:r>
            <w:proofErr w:type="spellStart"/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mcy</w:t>
            </w:r>
            <w:proofErr w:type="spellEnd"/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4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4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projektory multimedialne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Wszechstronny projektor doskonale nadaje się do prowadzenia wysokiej jakości prezentacji w klasach i w małych salach.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Kluczowe cechy: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Jaśniejszy obraz i bardziej rzeczywiste kolory dzięki technologii  3LCD lub równoważnej.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Jednakowo wysokie natężenie światła białego i barwnego.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Wyraźniejsze szczegóły: Zwiększony współczynnik kontrastu.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Dłuższa żywotność lampy oznacza niski koszt całkowity eksploatacji.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Specyfikacja: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Technologia 3LCD lub równoważnej.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Stosunek kontrastu 16.000:1.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• Lampa 200 W, 5.000 h Żywotność, 10.000 h Żywotność (w trybie oszczędnym).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– gwarancja 36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mcy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 zestawie: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Urządzenie podstawowe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Instrukcja obsługi (CD)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Oprogramowanie (CD)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Instrukcja montażu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Pilot z bateriami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Kabel zasilający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Kabel VGA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Specyfikacja: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Natężenie światła barwnego 2.700 lumen - 1.600 lumen (tryb ekonomiczny).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Natężenie światła białego 2.700 lumen - 1.600 lumen (tryb ekonomiczny)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Rozdzielczość XGA, 1024 x 768.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Współczynnik proporcji obrazu 4:3.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produkt wymaga baterii (są w zestawie)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Natężenie światła białego 2.700 lumen - 1.600 lumen (tryb ekonomiczny)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Rozdzielczość XGA, 1024 x 768.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Współczynnik proporcji obrazu 4:3.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produkt wymaga baterii (są w zestawie)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Gwarancja  - 36 </w:t>
            </w:r>
            <w:proofErr w:type="spellStart"/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mcy</w:t>
            </w:r>
            <w:proofErr w:type="spellEnd"/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- ilość 2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2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3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2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1839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Logopedyczny niezbędnik duży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Loteryjka obrazkowa - gra logopedyczna, 1 szt.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Dmuchajka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Bystre oczko - karty do gry, 1 szt.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Materiał wyrazowo-obrazkowy do utrwalania poprawnej wymowy głosek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sz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ż,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cz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dż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Materiał wyrazowo-obrazkowy do utrwalania poprawnej wymowy głosek s, z, c,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Materiał wyrazowo-obrazkowy do utrwalania poprawnej wymowy głosek p, pi, b,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bi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Materiał wyrazowo-obrazkowy do utrwalania poprawnej wymowy głosek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dentalizowanych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Materiał wyrazowo-obrazkowy do utrwalania poprawnej wymowy głosek f, fi, w,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wi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ł,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ch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(h),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Materiał wyrazowo-obrazkowy do utrwalania poprawnej wymowy głosek t, d, m, mi, n, ni (ń),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Materiał wyrazowo-obrazkowy do utrwalania poprawnej wymowy głosek k, ki, g,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gi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Materiał wyrazowo-obrazkowy do utrwalania poprawnej wymowy głosek ś, ź, ć,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dź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Dźwięki naszego otoczenia - zgadywanki obrazkowo-dźwiękowe,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Słowa i zdania,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Kto to? Co to? Rzeczownik,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Co robi? Co się z nim dzieje? Czasownik,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Słyszę, widzę i wymawiam. Ćwiczenia kinestezji artykulacyjnej,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Onomatopeje,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Onomatopeje - karty do prezentacji,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Poznajemy dźwięki,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Jaki? Przymiotnik,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Różnicowanie głosek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cz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-c,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Różnicowanie głosek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sz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-s,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Rozumiem i nazywam,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Kwestionariusz do badania artykulacji,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Posłuchaj/zobacz, zapamiętaj, ułóż,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Naśladuj albo zgaduj,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Przed, po a co pomiędzy?,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Historie z porami roku,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Pierwsze historyjki 1,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Pierwsze historyjki 2, 1 szt. </w:t>
            </w:r>
          </w:p>
          <w:p w:rsidR="003959C8" w:rsidRPr="00293224" w:rsidRDefault="003959C8" w:rsidP="004B11CF">
            <w:pPr>
              <w:spacing w:after="0" w:line="240" w:lineRule="auto"/>
              <w:ind w:left="40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Piórka małe, 1 szt.</w:t>
            </w:r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Eduterapeutica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 xml:space="preserve"> logopedia - wersja rozszerzona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wersja rozszerzona to multimedialna pomoc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diagnostyczno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- terapeutyczna dla logopedów i nauczycieli.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Wersja rozszerzona obejmuje: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szumiący (poziom łatwy, średni, trudny)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syczący (poziom łatwy, średni, trudny)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ciszący (poziom łatwy, średni, trudny)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różnicowanie szeregów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artykulacja głosek: r, k, g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dźwięczność (mowa bezdźwięczna - poziom łatwy, średni, trudny)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słuch fonematyczny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skuteczna terapia jąkanie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różnicowanie szeregów (poziom łatwy, średni, trudny)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badanie mowy - umożliwia zdiagnozowanie budowy i sprawności narządów mowy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ćwiczenia do nauki i utrwalania kształtów liter (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grafomotoryka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879 interaktywnych ćwiczeń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690 kart pracy do wydruku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poradnik metodyczny </w:t>
            </w:r>
          </w:p>
          <w:p w:rsidR="003959C8" w:rsidRPr="00FB1B13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słuchawki z mikrofonem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FB1B13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drukarka laserowa</w:t>
            </w:r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5)SZKOŁA PODSTAWOWA 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gridAfter w:val="1"/>
          <w:wAfter w:w="11" w:type="dxa"/>
          <w:trHeight w:val="240"/>
        </w:trPr>
        <w:tc>
          <w:tcPr>
            <w:tcW w:w="295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3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Zestaw medyczny LOGOPEDIA PRO - pakiet GOLD</w:t>
            </w:r>
          </w:p>
        </w:tc>
        <w:tc>
          <w:tcPr>
            <w:tcW w:w="488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56" w:type="dxa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LOGOPEDIA PRO to programy przeznaczone są dla logopedów, terapeutów i nauczycieli prowadzących zajęcia z dziećmi mającymi problemy z artykulacją głosek, a także z przyswajaniem języka i jego prawidłowym rozwojem.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LOGOPEDIA PRO to narzędzie multimedialne, które poza wsparciem obszaru językowego łączy w sobie ćwiczenia wielu innych obszarów: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koordynacji wzrokowej,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koordynacji słuchowej,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koordynacji wzrokowo-słuchowo-ruchowej,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grafomotoryki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logicznego myślenia,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pamięci,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spostrzegawczości,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umiejętności klasyfikacji,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umiejętność kategoryzacji.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Program współpracuje również z tablicą interaktywną i komputerem z panelem dotykowym.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WYMAGANIA TECHNICZNE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System operacyjny: Windows XP/Vista/7/8.x/10 wersje 32bit i 64 bit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Pamięć RAM: 1 GB (dla systemu 32-bit) lub 2 GB (dla systemu 64-bit)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Procesor: 2,8 gigaherca (GHz)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Karta graficzna pracująca z rozdzielczością 1024x768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Karta dźwiękowa, mysz komputerowa, głośniki lub słuchawki, Port USB 2.0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Mikrofon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Ilość miejsca na dysku twardym zależna od wybranego wariantu produktu.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Wymaga zainstalowanego oprogramowania Adobe Flash Player.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Logopedia PRO - pakiet GOLD to: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1. 14 programów multimedialnych na pendrive: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szumiący - moduł podstawowy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syczący - moduł podstawowy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ciszący - moduł podstawowy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szumiący - moduł profesjonalny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• Szereg syczący - moduł profesjonalny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Szereg ciszący - moduł profesjonalny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• Różnicowanie szeregów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Głoska r - moduł podstawowy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Głoski r, l - moduł profesjonalny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Mowa bezdźwięczna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Sfonem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Echokorektor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Trening logopedyczny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• Głoski tylnojęzykowe k, g, h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2. ponad 2500 interaktywnych ćwiczeń i blisko 1000 kart pracy,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3. profesjonalny mikrofon,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4. przewodnik metodyczny (szczegółowe opisy programów, propozycje scenariuszy zajęć oraz tekstów terapeutycznych),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5. wsparcie techniczne,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6. wysokiej jakości TABLET, stanowiący wyposażenie dodatkowe (UWAGA!: tablet do wykorzystania z dodatkowymi pomocami dydaktycznymi umieszczonymi na karcie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MicroSD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),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7. Karta </w:t>
            </w:r>
            <w:proofErr w:type="spellStart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MicroSD</w:t>
            </w:r>
            <w:proofErr w:type="spellEnd"/>
            <w:r w:rsidRPr="00293224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z 2000 dodatkowych plików do wykorzystania z tabletem lub wg uznania terapeuty (UWAGA!: oprogramowanie działa na PC i komputerze z panelem dotykowym, natomiast na tablecie można używać wspomagająco: 5 kategorii dodatkowych pomocy dydaktycznych - zestaw zawiera 53 tytuły pomocy dydaktycznych, na które składają się setki kart pracy lub obrazków do druku, książki do oglądania i czytania, wiele godzin nagrań do wykorzystania na różnych zajęciach z dziećmi, a także 4 osobne aplikacje do zainstalowania na komputerze PC).</w:t>
            </w:r>
          </w:p>
        </w:tc>
        <w:tc>
          <w:tcPr>
            <w:tcW w:w="1382" w:type="dxa"/>
            <w:gridSpan w:val="2"/>
          </w:tcPr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1)SZKOŁA PODSTAWOWA IM. POWSTAŃCÓW WIELKOPOLSKICH W OPOKACH, 87-700,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2)SZKOŁA PODSTAWOWA IM. KS. KAN. JANA MATUSIAKA W OSTROWĄSIE,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3)SZKOŁA PODSTAWOWA IM.MJR HENRYKA DOBRZAŃSKIEGO "HUBALA" W PRZYBRANOWIE,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 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Pr="006C6E6D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>4)SZKOŁA PODSTAWOWA IM. WINCENTEGO PIOTROWSKIEGO W WOŁUSZEWIE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 </w:t>
            </w:r>
          </w:p>
          <w:p w:rsidR="003959C8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lastRenderedPageBreak/>
              <w:t xml:space="preserve">5)SZKOŁA PODSTAWOWA IM. TADEUSZA KOŚCIUSZKI W SŁUŻEWIE,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  <w:r w:rsidRPr="006C6E6D"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  <w:t xml:space="preserve">6)SZKOŁA PODSTAWOWA IM. MARII DANILEWICZ ZIELIŃSKIEJ W STAWKACH, </w:t>
            </w:r>
            <w:r w:rsidRPr="00920D6E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 xml:space="preserve">- ilość 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pl-PL"/>
              </w:rPr>
              <w:t>1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959C8" w:rsidRPr="00293224" w:rsidTr="004B11CF">
        <w:trPr>
          <w:trHeight w:val="244"/>
        </w:trPr>
        <w:tc>
          <w:tcPr>
            <w:tcW w:w="1382" w:type="dxa"/>
            <w:gridSpan w:val="2"/>
          </w:tcPr>
          <w:p w:rsidR="003959C8" w:rsidRPr="00293224" w:rsidRDefault="003959C8" w:rsidP="004B11C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43" w:type="dxa"/>
            <w:gridSpan w:val="13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8" w:type="dxa"/>
            <w:gridSpan w:val="4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3959C8" w:rsidRPr="00293224" w:rsidTr="004B11CF">
        <w:trPr>
          <w:trHeight w:val="225"/>
        </w:trPr>
        <w:tc>
          <w:tcPr>
            <w:tcW w:w="9189" w:type="dxa"/>
            <w:gridSpan w:val="6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  <w:r w:rsidRPr="00293224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cenę  netto i brutto należy przenieść do formularza ofertowego</w:t>
            </w:r>
          </w:p>
        </w:tc>
        <w:tc>
          <w:tcPr>
            <w:tcW w:w="1382" w:type="dxa"/>
            <w:gridSpan w:val="2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</w:pPr>
          </w:p>
        </w:tc>
        <w:tc>
          <w:tcPr>
            <w:tcW w:w="663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776" w:type="dxa"/>
            <w:gridSpan w:val="4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gridSpan w:val="2"/>
            <w:shd w:val="clear" w:color="auto" w:fill="auto"/>
            <w:noWrap/>
            <w:vAlign w:val="center"/>
            <w:hideMark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224">
        <w:rPr>
          <w:rFonts w:asciiTheme="majorHAnsi" w:hAnsiTheme="majorHAnsi" w:cstheme="majorHAnsi"/>
          <w:b/>
          <w:sz w:val="24"/>
          <w:szCs w:val="24"/>
        </w:rPr>
        <w:t>Parametry techniczne LAPTOP</w:t>
      </w:r>
    </w:p>
    <w:p w:rsidR="003959C8" w:rsidRPr="00293224" w:rsidRDefault="003959C8" w:rsidP="003959C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5000" w:type="pct"/>
        <w:tblInd w:w="-469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"/>
        <w:gridCol w:w="2631"/>
        <w:gridCol w:w="10665"/>
      </w:tblGrid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9C8" w:rsidRPr="00293224" w:rsidRDefault="003959C8" w:rsidP="004B11CF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Nazwa komponentu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9C8" w:rsidRPr="00293224" w:rsidRDefault="003959C8" w:rsidP="004B11CF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Wymagane minimalne parametry techniczne komputerów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Laptop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 u producenta komputera.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Ekran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Toc6914173"/>
            <w:bookmarkStart w:id="2" w:name="_Toc6914337"/>
            <w:bookmarkStart w:id="3" w:name="_Toc6986441"/>
            <w:bookmarkStart w:id="4" w:name="_Toc6987546"/>
            <w:bookmarkStart w:id="5" w:name="_Toc7003525"/>
            <w:bookmarkStart w:id="6" w:name="_Toc7163871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Matryca TFT, 15,6” z podświetleniem w technologii LED, powłoka antyrefleksyjna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Anti-Glare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rozdzielczość: FHD 1920x1080, 220nits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Obudowa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Obudowa wyposażona w zawiasy metalowe. Kąt otwarcia matrycy min.180 stopni. W obudowę wbudowane co najmniej 2 diody sygnalizujące stan naładowania akumulatora oraz pracę dysku twardego.  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Chipset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Dostosowany do zaoferowanego procesora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Płyta główna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Zaprojektowana i wyprodukowana przez producenta komputera wyposażona w interfejs SATA III (6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Gb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/s) do obsługi dysków twardych. Płyta główna i konstrukcja laptopa wspierająca konfiguracje dwu dyskową SSD M.2+ HDD 2,5’’.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Procesor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Procesor klasy x86,</w:t>
            </w:r>
            <w:r w:rsidRPr="0029322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2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rdzeniowy, 4 wątkowy, zaprojektowany do pracy w komputerach przenośnych, taktowany zegarem bazowym co najmniej 2 GHz, pamięcią cache L3 co najmniej 3 MB lub równoważny wydajnościowo osiągający wynik co najmniej 3090 pkt w teście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SysMark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w kategorii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PassMark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CPU Mark, według wyników opublikowanych na stronie http://www.cpubenchmark.net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Pamięć operacyjna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Min 4GB z możliwością rozbudowy do 12GB, rodzaj pamięci DDR4, 2133MHz.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Dysk twardy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Min 128GB SSD, zawierający partycję RECOVERY umożliwiającą odtworzenie systemu operacyjnego fabrycznie zainstalowanego na komputerze po awarii. Możliwość rozbudowy do konfiguracji dwudyskowej w oparciu o dysk M.2 SSD oraz 2,5”.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sv-SE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Karta graficzna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Zintegrowana karta graficzna wykorzystująca pamięć RAM systemu dynamicznie przydzielaną na potrzeby grafiki w trybie UMA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Unified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Memory Access) – z możliwością dynamicznego przydzielenia pamięci.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Audio/Video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Wbudowana, zgodna z HD Audio, wbudowane głośniki stereo min 2x 2W, wbudowany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mute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), kamera HD720p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Karta sieciowa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10/100/1000 – RJ 45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Porty/złącza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7" w:name="_Toc6914174"/>
            <w:bookmarkStart w:id="8" w:name="_Toc6914338"/>
            <w:bookmarkStart w:id="9" w:name="_Toc6986442"/>
            <w:bookmarkStart w:id="10" w:name="_Toc6987547"/>
            <w:bookmarkStart w:id="11" w:name="_Toc7003526"/>
            <w:bookmarkStart w:id="12" w:name="_Toc7163872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2xUSB 3.0, złącze słuchawek i złącze mikrofonu typu COMBO, HDMI, RJ-45, czytnik kart multimedialnych (min SD/SDXC/MMC). Dedykowany przycisk umożliwiający odtworzenie systemu z partycji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recovery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Klawiatura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Klawiatura, układ US odporna na zalanie. Klawiatura z wydzielonym blokiem numerycznym.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WiFi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Wbudowana karta sieciowa, pracująca w standardzie AC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Bluetooth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Wbudowany moduł Bluetooth 4.1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Napęd optyczny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Nagrywarka DVD o wysokości nie większej jak 9mm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Bateria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Bateria – min. 2 ogniwa, pozwalająca na nieprzerwaną pracę urządzenia do 300 minut. Czas pracy na baterii potwierdzony w teście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MobileMark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® 2014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MobileMark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2014 Battery Life) – należy dostarczyć 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wyniki w formatach FDR (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Full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Disclosure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Report ) i PDF programu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MobileMark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® 2014 lub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karte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katalogową produktu potwierdzającą czas pracy na zasilaniu bateryjnym.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Zasilacz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Zasilacz zewnętrzny max 45W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BIOS 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BIOS zgodny ze specyfikacją UEFI.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- wersji BIOS 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>- nr seryjnym komputera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ilości pamięci RAM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typie procesora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    Administrator z poziomu BIOS musi mieć możliwość wykonania poniższych czynności: </w:t>
            </w:r>
          </w:p>
          <w:p w:rsidR="003959C8" w:rsidRPr="00293224" w:rsidRDefault="003959C8" w:rsidP="003959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ustawienia hasła dla twardego dysku</w:t>
            </w:r>
          </w:p>
          <w:p w:rsidR="003959C8" w:rsidRPr="00293224" w:rsidRDefault="003959C8" w:rsidP="003959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ustawienia hasła Administratora oraz użytkownika</w:t>
            </w:r>
          </w:p>
          <w:p w:rsidR="003959C8" w:rsidRPr="00293224" w:rsidRDefault="003959C8" w:rsidP="003959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ustawienia kolejności borowania</w:t>
            </w:r>
          </w:p>
          <w:p w:rsidR="003959C8" w:rsidRPr="00293224" w:rsidRDefault="003959C8" w:rsidP="003959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włączania/wyłączania Wifi</w:t>
            </w:r>
          </w:p>
          <w:p w:rsidR="003959C8" w:rsidRPr="00293224" w:rsidRDefault="003959C8" w:rsidP="003959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włączania/wyłączania wirtualizacji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Możliwość ustawienia portów USB w trybie „no BOOT”, czyli podczas startu komputer nie wykrywa urządzeń bojujących typu USB, natomiast po uruchomieniu systemu operacyjnego porty USB są aktywne.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Bezpieczeństwo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- Notebook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wyposażony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złącze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zabezpieczające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typu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Kensington/Noble Lock.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Złącze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zabezpieczenia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uniemożliwiające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otwarcie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obudowy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notebooka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gdy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linka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zabezpieczająca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zostanie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umieszczona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zamknięta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wykorzystaniem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kluczyka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dedykowanym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slocie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Kensington/Noble Lock.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obudowa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komputera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fabrycznie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wyposażona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mechaniczną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przesłonę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kamery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 ISO9001:2000 dla producenta sprzętu (należy załączyć do oferty)</w:t>
            </w:r>
          </w:p>
          <w:p w:rsidR="003959C8" w:rsidRPr="00293224" w:rsidRDefault="003959C8" w:rsidP="003959C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ENERGY STAR min. 6.1</w:t>
            </w:r>
          </w:p>
          <w:p w:rsidR="003959C8" w:rsidRPr="00293224" w:rsidRDefault="003959C8" w:rsidP="003959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Deklaracja zgodności CE (załączyć do oferty)</w:t>
            </w:r>
          </w:p>
          <w:p w:rsidR="003959C8" w:rsidRPr="00293224" w:rsidRDefault="003959C8" w:rsidP="003959C8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Potwierdzenie spełnienia kryteriów środowiskowych, w tym zgodności z dyrektywą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RoHS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Unii Europejskiej o eliminacji substancji niebezpiecznych w postaci oświadczenia producenta jednostki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Waga/Wymiary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Waga urządzenia z baterią podstawową max 1.9kg, grubość notebooka nieprzekraczająca 23mm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Szyfrowanie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Komputer wyposażony w moduł TPM 2.0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System operacyjny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Windows 10 Pro x64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polskiej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wersji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językowej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równoważny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spełniający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najmniej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następujące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wymagania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poprzez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mechanizmy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bez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użycia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dodatkowych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aplikacji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: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Dostępne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dwa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rodzaje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graficznego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interfejsu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: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Klasyczny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umożliwiający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obsługę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pomocy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klawiatury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myszy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Dotykowy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umożliwiający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sterowanie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dotykiem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urządzeniach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typu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tablet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monitorach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dotykowych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Funkcje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związane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obsługą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komputerów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typu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tablet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wbudowanym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modułem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„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uczenia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się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”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pisma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obsługa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języka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polskiego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Interfejs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dostępny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wielu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językach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wyboru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–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tym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polskim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angielskim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tworzenia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pulpitów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wirtualnych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przenoszenia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aplikacji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pomiędzy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pulpitami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przełączanie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się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pomiędzy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pulpitami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pomocą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skrótów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klawiaturowych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GUI.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5.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operacyjny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minimum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dwie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przeglądarki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Internetowe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6.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Zintegrowany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moduł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wyszukiwania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informacji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różnego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typu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tekstów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metadanych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)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dostępny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kilku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poziomów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poziom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menu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poziom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otwartego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okna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operacyjnego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;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wyszukiwania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oparty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konfigurowalnym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module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indeksacji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zasobów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lokalnych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7.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Zlokalizowane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języku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polskim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najmniej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następujące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elementy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menu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pomoc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komunikaty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systemowe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menedżer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8.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Graficzne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środowisko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instalacji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konfiguracji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dostępne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języku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polskim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9.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pomocy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języku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polskim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10.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przystosowania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stanowiska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osób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niepełnosprawnych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np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słabo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widzących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).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dokonywania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aktualizacji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poprawek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poprzez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mechanizm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zarządzany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administratora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Zamawiającego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dostarczania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poprawek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operacyjnego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modelu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peer-to-peer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sterowania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czasem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dostarczania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wersji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operacyjnego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centralnego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opóźniania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dostarczania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nowej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wersji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minimum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4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miesiące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14.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Zabezpieczony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hasłem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hierarchiczny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dostęp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konta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profile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zarządzane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zdalnie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;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praca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trybie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ochrony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kont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15.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dołączenia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usługi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katalogowej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on-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premise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chmurze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16.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Umożliwienie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zablokowania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urządzenia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ramach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danego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konta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tylko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uruchamiania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wybranej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aplikacji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-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tryb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"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kiosk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".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17.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automatycznej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synchronizacji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folderów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roboczych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znajdujących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się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firmowym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serwerze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centrum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danych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prywatnym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urządzeniem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bez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konieczności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łączenia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się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siecią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VPN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poziomu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folderu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zlokalizowanego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centrum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danych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firmy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18.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Zdalna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pomoc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współdzielenie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aplikacji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zdalnego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przejęcia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sesji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zalogowanego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celem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rozwiązania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problemu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komputerem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19.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Transakcyjny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pozwalający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stosowanie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przydziałów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(ang.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quota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)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dysku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oraz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zapewniający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większą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niezawodność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pozwalający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tworzyć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kopie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zapasowe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20.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Oprogramowanie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tworzenia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kopii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zapasowych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(Backup);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automatyczne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wykonywanie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kopii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możliwością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automatycznego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przywrócenia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wersji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wcześniejszej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przywracania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obrazu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uprzednio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zapisanej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postaci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przywracania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operacyjnego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stanu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początkowego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pozostawieniem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użytkownika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blokowania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dopuszczania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dowolnych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urządzeń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peryferyjnych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pomocą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polityk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grupowych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np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użyciu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numerów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identyfikacyjnych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sprzętu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)."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24.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mechanizm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wirtualizacji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typu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hypervisor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."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lastRenderedPageBreak/>
              <w:t>25.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zdalnego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dostępu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pracy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zdalnej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wykorzystaniem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pełnego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interfejsu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graficznego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26.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Dostępność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bezpłatnych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biuletynów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bezpieczeństwa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związanych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działaniem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operacyjnego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27.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zapora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internetowa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firewall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)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ochrony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połączeń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internetowych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zintegrowana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konsola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zarządzania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ustawieniami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zapory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regułami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IP v4 i v6.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28.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Identyfikacja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sieci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komputerowych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których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jest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podłączony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operacyjny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zapamiętywanie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ustawień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przypisywanie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min. 3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kategorii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bezpieczeństwa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predefiniowanymi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odpowiednio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kategorii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ustawieniami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zapory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sieciowej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udostępniania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itp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.).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29.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zdefiniowania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zarządzanych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aplikacji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taki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sposób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aby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automatycznie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szyfrowały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poziomie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plików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Blokowanie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bezpośredniego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kopiowania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treści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między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aplikacjami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zarządzanymi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niezarządzanymi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30.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uwierzytelnienia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dwuskładnikowego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oparty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certyfikat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klucz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prywatny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oraz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PIN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uwierzytelnienie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biometryczne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mechanizmy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ochrony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antywirusowej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przeciw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złośliwemu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oprogramowaniu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zapewnionymi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bezpłatnymi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aktualizacjami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szyfrowania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dysku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twardego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modułu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TPM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tworzenia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przechowywania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kopii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zapasowych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kluczy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odzyskiwania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szyfrowania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dysku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usługach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katalogowych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34.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tworzenia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wirtualnych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kart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inteligentnych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35.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firmware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UEFI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funkcji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bezpiecznego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rozruchu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(Secure Boot)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36.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wykorzystywany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automatycznie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przeglądarki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filtr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reputacyjny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URL.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37.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IPSEC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oparte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politykach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wdrażanie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IPSEC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oparte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zestawach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reguł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definiujących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ustawienia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zarządzanych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sposób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centralny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38.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Mechanizmy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logowania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oparciu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o: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  <w:t xml:space="preserve">Login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hasło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Karty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inteligentne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certyfikaty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smartcard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),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Wirtualne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karty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inteligentne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certyfikaty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logowanie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oparciu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certyfikat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chroniony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poprzez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moduł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TPM),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Certyfikat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/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Klucz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PIN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e.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Certyfikat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/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Klucz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uwierzytelnienie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biometryczne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39.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uwierzytelniania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bazie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Kerberos v. 5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40.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Wbudowany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agent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zbierania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danych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temat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zagrożeń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stacji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roboczej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41.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.NET Framework 2.x, 3.x i 4.x –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uruchomienia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aplikacji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działających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wskazanych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środowiskach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42.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VBScript –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uruchamiania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interpretera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poleceń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43.</w:t>
            </w: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ab/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PowerShell 5.x –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uruchamiania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interpretera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poleceń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Jako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równoważny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dopuszcza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się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również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system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Windows 10 EDU x64 w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polskiej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wersji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językowej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przeznaczony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sektora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edukacyjnego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Gwarancja</w:t>
            </w:r>
            <w:proofErr w:type="spellEnd"/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9B1B99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proofErr w:type="spellStart"/>
            <w:r w:rsidRPr="00FB1B13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Gwarancja</w:t>
            </w:r>
            <w:proofErr w:type="spellEnd"/>
            <w:r w:rsidRPr="00FB1B13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na </w:t>
            </w:r>
            <w:proofErr w:type="spellStart"/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u w:val="single"/>
                <w:lang w:val="de-DE"/>
              </w:rPr>
              <w:t>laptopa</w:t>
            </w:r>
            <w:proofErr w:type="spellEnd"/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u w:val="single"/>
                <w:lang w:val="de-DE"/>
              </w:rPr>
              <w:t xml:space="preserve"> 36 m-</w:t>
            </w:r>
            <w:proofErr w:type="spellStart"/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u w:val="single"/>
                <w:lang w:val="de-DE"/>
              </w:rPr>
              <w:t>cy</w:t>
            </w:r>
            <w:proofErr w:type="spellEnd"/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u w:val="single"/>
                <w:lang w:val="de-DE"/>
              </w:rPr>
              <w:t xml:space="preserve"> on</w:t>
            </w:r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- </w:t>
            </w:r>
            <w:proofErr w:type="spellStart"/>
            <w:r w:rsidRPr="009B1B99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site</w:t>
            </w:r>
            <w:proofErr w:type="spellEnd"/>
          </w:p>
          <w:p w:rsidR="003959C8" w:rsidRPr="00F054F8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trike/>
                <w:sz w:val="18"/>
                <w:szCs w:val="18"/>
              </w:rPr>
            </w:pP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Oświadczenie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producenta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komputera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że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przypadku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nie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wywiązywania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się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obowiązków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gwarancyjnych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oferenta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lub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firmy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serwisującej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przejmie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siebie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wszelkie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zobowiązania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związane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serwisem</w:t>
            </w:r>
            <w:proofErr w:type="spellEnd"/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  <w:lang w:val="de-DE"/>
              </w:rPr>
              <w:t>.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techniczne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producenta</w:t>
            </w:r>
            <w:proofErr w:type="spellEnd"/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weryfikacji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konfiguracji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fabrycznej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zakupionego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sprzętu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weryfikacji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stronie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posiadanej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/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wykupionej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gwarancji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weryfikacji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statusu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naprawy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urządzenia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podaniu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unikalnego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numeru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seryjnego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Naprawy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gwarancyjne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urządzeń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muszą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być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realizowany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Autoryzowanego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Partnera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Serwisowego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.</w:t>
            </w:r>
          </w:p>
        </w:tc>
      </w:tr>
      <w:tr w:rsidR="003959C8" w:rsidRPr="00293224" w:rsidTr="004B11CF">
        <w:trPr>
          <w:trHeight w:val="2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Wymagania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dodatkowe</w:t>
            </w:r>
            <w:proofErr w:type="spellEnd"/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Zamawiający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zastrzega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sobie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prawo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sprawdzenia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pełnej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zgodności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parametrów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oferowanego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sprzętu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wymogami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niniejszej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SIWZ.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tym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celu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Wykonawcy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wezwanie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Zamawiającego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dostarczą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siedziby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Zamawiającego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terminie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5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dni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od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daty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otrzymania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wezwania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próbkę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lastRenderedPageBreak/>
              <w:t>oferowanego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sprzętu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.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odniesieniu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do 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programowania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mogą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zostać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dostarczone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licencje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tymczasowe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,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pełni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zgodne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oferowanymi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Ocena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złożonych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próbek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zostanie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dokonana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Komisję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Przetargową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zasadzie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spełnia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/ nie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spełnia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badania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każdej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zostanie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sporządzony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protokół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Pozytywna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ocena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będzie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oznaczała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zgodność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)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treścią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SIWZ.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Niezgodność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 SIWZ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chociażby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zakresie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jednego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parametru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podlegającemu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badaniu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bądź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nieprzedłożenie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wymaganej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sposób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terminie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wymaganym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Zamawiającego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będzie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oznaczało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negatywny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wynik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oceny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będzie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skutkowało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odrzuceniem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podstawie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art. 89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ust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1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pkt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2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ustawy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29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stycznia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2004 r.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Prawo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zamówień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publicznych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(Dz. U. z 201</w:t>
            </w:r>
            <w:r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9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r.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. 1</w:t>
            </w:r>
            <w:r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986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.),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uwagi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fakt,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że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treść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odpowiada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treści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specyfikacji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istotnych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warunków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zamówienia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Szczegółowy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sposób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przygotowania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złożenia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próbek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zostanie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dostarczony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wykonawcom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wraz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wezwaniem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złożenia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próbek</w:t>
            </w:r>
            <w:proofErr w:type="spellEnd"/>
          </w:p>
        </w:tc>
      </w:tr>
    </w:tbl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959C8" w:rsidRPr="00293224" w:rsidRDefault="003959C8" w:rsidP="003959C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224">
        <w:rPr>
          <w:rFonts w:asciiTheme="majorHAnsi" w:hAnsiTheme="majorHAnsi" w:cstheme="majorHAnsi"/>
          <w:b/>
          <w:sz w:val="24"/>
          <w:szCs w:val="24"/>
        </w:rPr>
        <w:t>Parametry techniczne MONITOR</w:t>
      </w: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5540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8"/>
        <w:gridCol w:w="3014"/>
        <w:gridCol w:w="11761"/>
      </w:tblGrid>
      <w:tr w:rsidR="003959C8" w:rsidRPr="00293224" w:rsidTr="004B11CF">
        <w:trPr>
          <w:trHeight w:val="284"/>
        </w:trPr>
        <w:tc>
          <w:tcPr>
            <w:tcW w:w="235" w:type="pct"/>
            <w:shd w:val="clear" w:color="auto" w:fill="auto"/>
            <w:vAlign w:val="center"/>
          </w:tcPr>
          <w:p w:rsidR="003959C8" w:rsidRPr="00293224" w:rsidRDefault="003959C8" w:rsidP="004B11CF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Nazwa komponentu</w:t>
            </w:r>
          </w:p>
        </w:tc>
        <w:tc>
          <w:tcPr>
            <w:tcW w:w="3793" w:type="pct"/>
            <w:shd w:val="clear" w:color="auto" w:fill="auto"/>
            <w:vAlign w:val="center"/>
          </w:tcPr>
          <w:p w:rsidR="003959C8" w:rsidRPr="00293224" w:rsidRDefault="003959C8" w:rsidP="004B11CF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Wymagane minimalne parametry techniczne komputerów</w:t>
            </w:r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Monitor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monitora</w:t>
            </w:r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Wielkość ekranu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3" w:name="_Toc6914175"/>
            <w:bookmarkStart w:id="14" w:name="_Toc6914339"/>
            <w:bookmarkStart w:id="15" w:name="_Toc6986443"/>
            <w:bookmarkStart w:id="16" w:name="_Toc6987548"/>
            <w:bookmarkStart w:id="17" w:name="_Toc7003527"/>
            <w:bookmarkStart w:id="18" w:name="_Toc7163873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Przekątna ekranu min. 21,5”</w:t>
            </w:r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19" w:name="_Toc6914176"/>
            <w:bookmarkStart w:id="20" w:name="_Toc6914340"/>
            <w:bookmarkStart w:id="21" w:name="_Toc6986444"/>
            <w:bookmarkStart w:id="22" w:name="_Toc6987549"/>
            <w:bookmarkStart w:id="23" w:name="_Toc7003528"/>
            <w:bookmarkStart w:id="24" w:name="_Toc7163874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rozdzielczość nie mniejsza niż: FHD (1920 x 1080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)</w:t>
            </w:r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Odświeżanie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25" w:name="_Toc6914177"/>
            <w:bookmarkStart w:id="26" w:name="_Toc6914341"/>
            <w:bookmarkStart w:id="27" w:name="_Toc6986445"/>
            <w:bookmarkStart w:id="28" w:name="_Toc6987550"/>
            <w:bookmarkStart w:id="29" w:name="_Toc7003529"/>
            <w:bookmarkStart w:id="30" w:name="_Toc7163875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Max. 6ms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Kąty widzenia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1" w:name="_Toc6914178"/>
            <w:bookmarkStart w:id="32" w:name="_Toc6914342"/>
            <w:bookmarkStart w:id="33" w:name="_Toc6986446"/>
            <w:bookmarkStart w:id="34" w:name="_Toc6987551"/>
            <w:bookmarkStart w:id="35" w:name="_Toc7003530"/>
            <w:bookmarkStart w:id="36" w:name="_Toc7163876"/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Kąty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widzenia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min. 178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stopni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pionie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i min. 178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stopni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poziomie</w:t>
            </w:r>
            <w:bookmarkEnd w:id="31"/>
            <w:bookmarkEnd w:id="32"/>
            <w:bookmarkEnd w:id="33"/>
            <w:bookmarkEnd w:id="34"/>
            <w:bookmarkEnd w:id="35"/>
            <w:bookmarkEnd w:id="36"/>
            <w:proofErr w:type="spellEnd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Plamka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37" w:name="_Toc6914179"/>
            <w:bookmarkStart w:id="38" w:name="_Toc6914343"/>
            <w:bookmarkStart w:id="39" w:name="_Toc6986447"/>
            <w:bookmarkStart w:id="40" w:name="_Toc6987552"/>
            <w:bookmarkStart w:id="41" w:name="_Toc7003531"/>
            <w:bookmarkStart w:id="42" w:name="_Toc7163877"/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Wielkość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plamki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pojedyńczego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piksela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)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maksymalna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– 0.250 mm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Gamut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RGB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3" w:name="_Toc6914180"/>
            <w:bookmarkStart w:id="44" w:name="_Toc6914344"/>
            <w:bookmarkStart w:id="45" w:name="_Toc6986448"/>
            <w:bookmarkStart w:id="46" w:name="_Toc6987553"/>
            <w:bookmarkStart w:id="47" w:name="_Toc7003532"/>
            <w:bookmarkStart w:id="48" w:name="_Toc7163878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Nie mniejsza niż 72% RGB</w:t>
            </w:r>
            <w:bookmarkEnd w:id="43"/>
            <w:bookmarkEnd w:id="44"/>
            <w:bookmarkEnd w:id="45"/>
            <w:bookmarkEnd w:id="46"/>
            <w:bookmarkEnd w:id="47"/>
            <w:bookmarkEnd w:id="48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Kontrast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9" w:name="_Toc6914181"/>
            <w:bookmarkStart w:id="50" w:name="_Toc6914345"/>
            <w:bookmarkStart w:id="51" w:name="_Toc6986449"/>
            <w:bookmarkStart w:id="52" w:name="_Toc6987554"/>
            <w:bookmarkStart w:id="53" w:name="_Toc7003533"/>
            <w:bookmarkStart w:id="54" w:name="_Toc7163879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Kontrast wyświetlacza nie mniejszy niż: 1000:1</w:t>
            </w:r>
            <w:bookmarkEnd w:id="49"/>
            <w:bookmarkEnd w:id="50"/>
            <w:bookmarkEnd w:id="51"/>
            <w:bookmarkEnd w:id="52"/>
            <w:bookmarkEnd w:id="53"/>
            <w:bookmarkEnd w:id="54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Jasność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55" w:name="_Toc6914182"/>
            <w:bookmarkStart w:id="56" w:name="_Toc6914346"/>
            <w:bookmarkStart w:id="57" w:name="_Toc6986450"/>
            <w:bookmarkStart w:id="58" w:name="_Toc6987555"/>
            <w:bookmarkStart w:id="59" w:name="_Toc7003534"/>
            <w:bookmarkStart w:id="60" w:name="_Toc7163880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Jasność wyświetlacza nie mniejsza niż 250 cd/m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  <w:bookmarkEnd w:id="55"/>
            <w:bookmarkEnd w:id="56"/>
            <w:bookmarkEnd w:id="57"/>
            <w:bookmarkEnd w:id="58"/>
            <w:bookmarkEnd w:id="59"/>
            <w:bookmarkEnd w:id="60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Porty/złącza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61" w:name="_Toc6914183"/>
            <w:bookmarkStart w:id="62" w:name="_Toc6914347"/>
            <w:bookmarkStart w:id="63" w:name="_Toc6986451"/>
            <w:bookmarkStart w:id="64" w:name="_Toc6987556"/>
            <w:bookmarkStart w:id="65" w:name="_Toc7003535"/>
            <w:bookmarkStart w:id="66" w:name="_Toc7163881"/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Minimalna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ilość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dostępnych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złącz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monitorze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:</w:t>
            </w:r>
            <w:bookmarkEnd w:id="61"/>
            <w:bookmarkEnd w:id="62"/>
            <w:bookmarkEnd w:id="63"/>
            <w:bookmarkEnd w:id="64"/>
            <w:bookmarkEnd w:id="65"/>
            <w:bookmarkEnd w:id="66"/>
          </w:p>
          <w:p w:rsidR="003959C8" w:rsidRPr="00293224" w:rsidRDefault="003959C8" w:rsidP="003959C8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67" w:name="_Toc6914184"/>
            <w:bookmarkStart w:id="68" w:name="_Toc6914348"/>
            <w:bookmarkStart w:id="69" w:name="_Toc6986452"/>
            <w:bookmarkStart w:id="70" w:name="_Toc6987557"/>
            <w:bookmarkStart w:id="71" w:name="_Toc7003536"/>
            <w:bookmarkStart w:id="72" w:name="_Toc7163882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4 x USB 3.0 (HUB USB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wbudowany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obudowę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monitora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)</w:t>
            </w:r>
            <w:bookmarkEnd w:id="67"/>
            <w:bookmarkEnd w:id="68"/>
            <w:bookmarkEnd w:id="69"/>
            <w:bookmarkEnd w:id="70"/>
            <w:bookmarkEnd w:id="71"/>
            <w:bookmarkEnd w:id="72"/>
          </w:p>
          <w:p w:rsidR="003959C8" w:rsidRPr="00293224" w:rsidRDefault="003959C8" w:rsidP="003959C8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73" w:name="_Toc6914185"/>
            <w:bookmarkStart w:id="74" w:name="_Toc6914349"/>
            <w:bookmarkStart w:id="75" w:name="_Toc6986453"/>
            <w:bookmarkStart w:id="76" w:name="_Toc6987558"/>
            <w:bookmarkStart w:id="77" w:name="_Toc7003537"/>
            <w:bookmarkStart w:id="78" w:name="_Toc7163883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1 x HDMI</w:t>
            </w:r>
            <w:bookmarkEnd w:id="73"/>
            <w:bookmarkEnd w:id="74"/>
            <w:bookmarkEnd w:id="75"/>
            <w:bookmarkEnd w:id="76"/>
            <w:bookmarkEnd w:id="77"/>
            <w:bookmarkEnd w:id="78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79" w:name="_Toc6914186"/>
            <w:bookmarkStart w:id="80" w:name="_Toc6914350"/>
            <w:bookmarkStart w:id="81" w:name="_Toc6986454"/>
            <w:bookmarkStart w:id="82" w:name="_Toc6987559"/>
            <w:bookmarkStart w:id="83" w:name="_Toc7003538"/>
            <w:bookmarkStart w:id="84" w:name="_Toc7163884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1 x DisplayPort</w:t>
            </w:r>
            <w:bookmarkEnd w:id="79"/>
            <w:bookmarkEnd w:id="80"/>
            <w:bookmarkEnd w:id="81"/>
            <w:bookmarkEnd w:id="82"/>
            <w:bookmarkEnd w:id="83"/>
            <w:bookmarkEnd w:id="84"/>
          </w:p>
          <w:p w:rsidR="003959C8" w:rsidRPr="00293224" w:rsidRDefault="003959C8" w:rsidP="003959C8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outlineLvl w:val="0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bookmarkStart w:id="85" w:name="_Toc6914187"/>
            <w:bookmarkStart w:id="86" w:name="_Toc6914351"/>
            <w:bookmarkStart w:id="87" w:name="_Toc6986455"/>
            <w:bookmarkStart w:id="88" w:name="_Toc6987560"/>
            <w:bookmarkStart w:id="89" w:name="_Toc7003539"/>
            <w:bookmarkStart w:id="90" w:name="_Toc7163885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1 x D-SUB (VGA)</w:t>
            </w:r>
            <w:bookmarkEnd w:id="85"/>
            <w:bookmarkEnd w:id="86"/>
            <w:bookmarkEnd w:id="87"/>
            <w:bookmarkEnd w:id="88"/>
            <w:bookmarkEnd w:id="89"/>
            <w:bookmarkEnd w:id="90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Kable/przejściówki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Do monitora producent dołącza minimum kable: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8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DisplayPort</w:t>
            </w:r>
            <w:proofErr w:type="spellEnd"/>
          </w:p>
          <w:p w:rsidR="003959C8" w:rsidRPr="00293224" w:rsidRDefault="003959C8" w:rsidP="003959C8">
            <w:pPr>
              <w:pStyle w:val="Akapitzlist"/>
              <w:numPr>
                <w:ilvl w:val="0"/>
                <w:numId w:val="8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VGA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8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USB 3.0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8"/>
              </w:numPr>
              <w:autoSpaceDN w:val="0"/>
              <w:spacing w:after="0" w:line="240" w:lineRule="auto"/>
              <w:contextualSpacing w:val="0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Kabel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zasilający</w:t>
            </w:r>
            <w:proofErr w:type="spellEnd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Stopa/Podstawa monitora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Musi umożliwiać:</w:t>
            </w:r>
          </w:p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obrót w poziomie min. 90 stopni ( -45 / +45 )</w:t>
            </w:r>
          </w:p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przechylenie w pionie min. 30 stopni do tyłu</w:t>
            </w:r>
          </w:p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regulacja wysokości o wartości min. 110 mm</w:t>
            </w:r>
          </w:p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Obrót (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Pivot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) 90 stopni</w:t>
            </w:r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Obudowa</w:t>
            </w:r>
          </w:p>
        </w:tc>
        <w:tc>
          <w:tcPr>
            <w:tcW w:w="3793" w:type="pct"/>
          </w:tcPr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musi umożliwiać zastosowanie zabezpieczenia fizycznego w postaci linki metalowej (złącze blokady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Kensingtona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Możliwość zainstalowania komputera na ścianie przy wykorzystaniu ściennego systemu montażowego VESA z możliwością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beznarzędziowego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demontażu stopy. </w:t>
            </w:r>
          </w:p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Wbudowane w obudowę przyciski umożliwiające włączenie, wyłączenie oraz zmianę ustawień wyświetlania monitora</w:t>
            </w:r>
          </w:p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Obudowa trwale oznaczona nazwą producenta, numerem seryjnym i katalogowym pozwalającym na jednoznaczna identyfikacje zaoferowanego monitora</w:t>
            </w:r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Bezpieczeństwo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Złącze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typu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Kensington Lock</w:t>
            </w:r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Zasilacz</w:t>
            </w:r>
          </w:p>
        </w:tc>
        <w:tc>
          <w:tcPr>
            <w:tcW w:w="3793" w:type="pct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Zasilacz wbudowany w obudowie monitora. </w:t>
            </w:r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Zużycie energii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Maksymalne zużycie energii nie może przekraczać: 60W przy wykorzystaniu HUB USB</w:t>
            </w:r>
          </w:p>
          <w:p w:rsidR="003959C8" w:rsidRPr="00293224" w:rsidRDefault="003959C8" w:rsidP="003959C8">
            <w:pPr>
              <w:numPr>
                <w:ilvl w:val="0"/>
                <w:numId w:val="7"/>
              </w:numPr>
              <w:autoSpaceDN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Zużycie energii w trypie uśpienia nie może przekraczać 0.5 W</w:t>
            </w:r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3959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ENERGY STAR</w:t>
            </w:r>
          </w:p>
          <w:p w:rsidR="003959C8" w:rsidRPr="00293224" w:rsidRDefault="003959C8" w:rsidP="003959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ISO 9241-307</w:t>
            </w:r>
          </w:p>
          <w:p w:rsidR="003959C8" w:rsidRPr="00293224" w:rsidRDefault="003959C8" w:rsidP="003959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TCO 7.0</w:t>
            </w:r>
          </w:p>
          <w:p w:rsidR="003959C8" w:rsidRPr="00293224" w:rsidRDefault="003959C8" w:rsidP="003959C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TCO Edge</w:t>
            </w:r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Gwarancja</w:t>
            </w:r>
            <w:proofErr w:type="spellEnd"/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3341C6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8"/>
                <w:szCs w:val="18"/>
                <w:lang w:val="de-DE"/>
              </w:rPr>
            </w:pPr>
            <w:r w:rsidRPr="002C29D9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min. 3 </w:t>
            </w:r>
            <w:proofErr w:type="spellStart"/>
            <w:r w:rsidRPr="002C29D9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lata</w:t>
            </w:r>
            <w:proofErr w:type="spellEnd"/>
          </w:p>
        </w:tc>
      </w:tr>
      <w:tr w:rsidR="003959C8" w:rsidRPr="00293224" w:rsidTr="004B11CF">
        <w:trPr>
          <w:trHeight w:val="28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3959C8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4B11CF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Wsparcie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techniczne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  <w:lang w:val="de-DE"/>
              </w:rPr>
              <w:t>producenta</w:t>
            </w:r>
            <w:proofErr w:type="spellEnd"/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weryfikacji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stronie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modelu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monitora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weryfikacji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stronie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posiadanej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/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wykupionej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gwarancji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weryfikacji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statusu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naprawy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urządzenia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podaniu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unikalnego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numeru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seryjnego</w:t>
            </w:r>
            <w:proofErr w:type="spellEnd"/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Naprawy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gwarancyjne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urządzeń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muszą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być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realizowany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Autoryzowanego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Partnera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Serwisowego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.</w:t>
            </w:r>
          </w:p>
        </w:tc>
      </w:tr>
    </w:tbl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F054F8" w:rsidRDefault="00F054F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F054F8" w:rsidRDefault="00F054F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F054F8" w:rsidRDefault="00F054F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F054F8" w:rsidRPr="00293224" w:rsidRDefault="00F054F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224">
        <w:rPr>
          <w:rFonts w:asciiTheme="majorHAnsi" w:hAnsiTheme="majorHAnsi" w:cstheme="majorHAnsi"/>
          <w:b/>
          <w:sz w:val="24"/>
          <w:szCs w:val="24"/>
        </w:rPr>
        <w:lastRenderedPageBreak/>
        <w:t>Parametry techniczne KOMPUTERY STACJONARNE</w:t>
      </w: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3959C8" w:rsidRPr="00293224" w:rsidRDefault="003959C8" w:rsidP="003959C8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tbl>
      <w:tblPr>
        <w:tblW w:w="5000" w:type="pct"/>
        <w:tblInd w:w="-469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4"/>
        <w:gridCol w:w="2631"/>
        <w:gridCol w:w="10667"/>
      </w:tblGrid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9C8" w:rsidRPr="00293224" w:rsidRDefault="003959C8" w:rsidP="004B11CF">
            <w:pPr>
              <w:pStyle w:val="Tabelapozycja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</w:pPr>
            <w:r w:rsidRPr="00293224">
              <w:rPr>
                <w:rFonts w:asciiTheme="majorHAnsi" w:eastAsia="Times New Roman" w:hAnsiTheme="majorHAnsi" w:cstheme="majorHAns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Nazwa komponentu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9C8" w:rsidRPr="00293224" w:rsidRDefault="003959C8" w:rsidP="004B11CF">
            <w:pPr>
              <w:spacing w:after="0" w:line="240" w:lineRule="auto"/>
              <w:ind w:left="-71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/>
                <w:sz w:val="18"/>
                <w:szCs w:val="18"/>
              </w:rPr>
              <w:t>Wymagane minimalne parametry techniczne komputerów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Komputer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sprzętu.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Obudowa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Typu small form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factor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z obsługą kart PCI Express wyłącznie o niskim profilu.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Fabrycznie umożliwiająca montaż min. 2 kieszeni: 1 szt. na napęd optyczny (dopuszcza się stosowanie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napedów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slim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 zewnętrzna, 1 szt. 3,5”na standardowy dysk twardy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Wyposażona w czytnik kart multimedialnych 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- Obudowa trwale oznaczona nazwą producenta, nazwą komputera, numerem MTM, PN, numerem seryjnym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- Wyposażona w budowany głośnik o mocy min. 1.5W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Zasilacz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Zasilacz maksymalnie 180W o sprawności minimum 85%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Chipset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Dostosowany do zaoferowanego procesora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Płyta główna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Zaprojektowana i wyprodukowana przez producenta komputera.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Wyposażona w złącza min.: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1 x PCI Express 3.0 x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16,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1 x PCI Express 3.0 x1,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2 x M.2 z czego min. 1 przeznaczona dla dysku SSD z obsługą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PCIe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NVMe</w:t>
            </w:r>
            <w:proofErr w:type="spellEnd"/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Procesor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Procesor klasy x86, zaprojektowany do pracy w komputerach stacjonarnych, Intel®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Core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™ i3-8100 (3.60 GHz, 6 MB Cache) lub równoważny na poziomie wydajności liczonej w punktach na podstawie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PerformanceTest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w teście CPU Mark według wyników opublikowanych na http://www.cpubenchmark.net/. Wykonawca w składanej ofercie winien podać dokładny model oferowanego podzespołu.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Pamięć operacyjna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Min. 4GB DDR4 2400MHz z możliwością rozszerzenia do 32 GB 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Ilość banków pamięci: min. 2 szt.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Ilość wolnych banków pamięci: min. 1 szt.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Dysk twardy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Min 500 GB 7200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obr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/min zawierający partycję RECOVERY umożliwiającą odtworzenie systemu operacyjnego fabrycznie zainstalowanego na komputerze po awarii. 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Napęd optyczny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Nagrywarka DVD +/-RW 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  <w:lang w:val="sv-SE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Karta graficzna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Zintegrowana karta graficzna wykorzystująca pamięć RAM systemu dynamicznie przydzielaną na potrzeby grafiki w trybie UMA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Unified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Memory Access) – z możliwością dynamicznego przydzielenia pamięci.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Audio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Karta dźwiękowa zintegrowana z płytą główną, zgodna z High Definition. 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Karta sieciowa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LAN 10/100/1000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Mbit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/s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funkją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PXE oraz Wake on LAN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Porty/złącza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Wbudowane porty/złącza: </w:t>
            </w:r>
          </w:p>
          <w:p w:rsidR="003959C8" w:rsidRPr="00293224" w:rsidRDefault="003959C8" w:rsidP="004B11CF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Wideo różnego typu umożliwiające elastyczne podłączenie urządzenia bez stosowania przejściówek lub adapterów za pomocą min:</w:t>
            </w:r>
          </w:p>
          <w:p w:rsidR="003959C8" w:rsidRPr="00293224" w:rsidRDefault="003959C8" w:rsidP="004B11CF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- 1 x VGA, </w:t>
            </w:r>
          </w:p>
          <w:p w:rsidR="003959C8" w:rsidRPr="00293224" w:rsidRDefault="003959C8" w:rsidP="004B11CF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- 1 x DP,</w:t>
            </w:r>
          </w:p>
          <w:p w:rsidR="003959C8" w:rsidRPr="00293224" w:rsidRDefault="003959C8" w:rsidP="004B11CF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- 1 x HDMI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Pozostałe porty/złącza:</w:t>
            </w:r>
          </w:p>
          <w:p w:rsidR="003959C8" w:rsidRPr="00293224" w:rsidRDefault="003959C8" w:rsidP="004B11CF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- 4 x USB </w:t>
            </w:r>
          </w:p>
          <w:p w:rsidR="003959C8" w:rsidRPr="00293224" w:rsidRDefault="003959C8" w:rsidP="004B11CF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port sieciowy RJ-45, </w:t>
            </w:r>
          </w:p>
          <w:p w:rsidR="003959C8" w:rsidRPr="00293224" w:rsidRDefault="003959C8" w:rsidP="004B11CF">
            <w:pPr>
              <w:spacing w:after="0" w:line="240" w:lineRule="auto"/>
              <w:ind w:left="708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porty słuchawek i mikrofonu na przednim lub tylnym panelu obudowy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Klawiatura/mysz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Klawiatura przewodowa w układzie US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Mysz przewodowa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scroll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System operacyjny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Microsoft Windows 10 Pro 64 bit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System operacyjny klasy PC musi spełniać następujące wymagania poprzez wbudowane mechanizmy, bez użycia dodatkowych aplikacji: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Dostępne dwa rodzaje graficznego interfejsu użytkownika: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Klasyczny, umożliwiający obsługę przy pomocy klawiatury i myszy,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Dotykowy umożliwiający sterowanie dotykiem na urządzeniach typu tablet lub monitorach dotykowych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Interfejs użytkownika dostępny w wielu językach do wyboru – w tym polskim i angielskim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5.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Wbudowane w system operacyjny minimum dwie przeglądarki Internetowe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6.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7.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Zlokalizowane w języku polskim, co najmniej następujące elementy: menu, pomoc, komunikaty systemowe, menedżer plików.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8.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Graficzne środowisko instalacji i konfiguracji dostępne w języku polskim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9.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Wbudowany system pomocy w języku polskim.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10.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przystosowania stanowiska dla osób niepełnosprawnych (np. słabo widzących).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dokonywania aktualizacji i poprawek systemu poprzez mechanizm zarządzany przez administratora systemu Zamawiającego.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Możliwość dostarczania poprawek do systemu operacyjnego w modelu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peer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-to-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peer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14.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15.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dołączenia systemu do usługi katalogowej on-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premise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lub w chmurze.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16.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Umożliwienie zablokowania urządzenia w ramach danego konta tylko do uruchamiania wybranej aplikacji - tryb "kiosk".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17.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18.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19.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Transakcyjny system plików pozwalający na stosowanie przydziałów (ang.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quota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 na dysku dla użytkowników oraz zapewniający większą niezawodność i pozwalający tworzyć kopie zapasowe.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20.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przywracania obrazu plików systemowych do uprzednio zapisanej postaci.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22.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przywracania systemu operacyjnego do stanu początkowego z pozostawieniem plików użytkownika.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24.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Wbudowany mechanizm wirtualizacji typu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hypervisor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."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25.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Wbudowana możliwość zdalnego dostępu do systemu i pracy zdalnej z wykorzystaniem pełnego interfejsu graficznego.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26.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Dostępność bezpłatnych biuletynów bezpieczeństwa związanych z działaniem systemu operacyjnego.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27.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28.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29.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30.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Wbudowany system uwierzytelnienia dwuskładnikowego oparty o certyfikat lub klucz prywatny oraz PIN lub uwierzytelnienie biometryczne.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Wbudowane mechanizmy ochrony antywirusowej i przeciw złośliwemu oprogramowaniu z zapewnionymi bezpłatnymi aktualizacjami.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Wbudowany system szyfrowania dysku twardego ze wsparciem modułu TPM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tworzenia i przechowywania kopii zapasowych kluczy odzyskiwania do szyfrowania dysku w usługach katalogowych.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34.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Możliwość tworzenia wirtualnych kart inteligentnych.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35.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Wsparcie dla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firmware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UEFI i funkcji bezpiecznego rozruchu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Secure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Boot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36.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Wbudowany w system, wykorzystywany automatycznie przez wbudowane przeglądarki filtr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reputacyjny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URL.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37.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38.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Mechanizmy logowania w oparciu o: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Login i hasło,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Karty inteligentne i certyfikaty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smartcard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),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c.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Wirtualne karty inteligentne i certyfikaty (logowanie w oparciu o certyfikat chroniony poprzez moduł TPM),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Certyfikat/Klucz i PIN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e.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Certyfikat/Klucz i uwierzytelnienie biometryczne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39.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Wsparcie dla uwierzytelniania na bazie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Kerberos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v. 5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40.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Wbudowany agent do zbierania danych na temat zagrożeń na stacji roboczej.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41.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>Wsparcie .NET Framework 2.x, 3.x i 4.x – możliwość uruchomienia aplikacji działających we wskazanych środowiskach</w:t>
            </w:r>
          </w:p>
          <w:p w:rsidR="003959C8" w:rsidRPr="00293224" w:rsidRDefault="003959C8" w:rsidP="004B11CF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42.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Wsparcie dla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VBScript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– możliwość uruchamiania interpretera poleceń</w:t>
            </w:r>
          </w:p>
          <w:p w:rsidR="003959C8" w:rsidRPr="00293224" w:rsidRDefault="003959C8" w:rsidP="004B11CF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43.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ab/>
              <w:t xml:space="preserve">Wsparcie dla PowerShell 5.x – możliwość uruchamiania interpretera poleceń 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BIOS  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BIOS zgodny ze specyfikacją UEFI 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-  Możliwość, bez uruchamiania systemu operacyjnego z dysku twardego komputera lub innych podłączonych do niego urządzeń zewnętrznych informacji o: </w:t>
            </w:r>
            <w:r w:rsidRPr="00293224">
              <w:rPr>
                <w:rFonts w:asciiTheme="majorHAnsi" w:hAnsiTheme="majorHAnsi" w:cstheme="majorHAnsi"/>
                <w:sz w:val="18"/>
                <w:szCs w:val="18"/>
              </w:rPr>
              <w:br/>
              <w:t>- modelu komputera, PN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numerze seryjnym,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AssetTag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MAC Adres karty sieciowej,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wersja Biosu wraz z datą produkcji,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- zainstalowanym procesorze, jego taktowaniu i ilości rdzeni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ilości pamięci RAM wraz z taktowaniem,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stanie pracy wentylatora na procesorze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stanie pracy wentylatora w obudowie komputera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napędach lub dyskach podłączonych do portów SATA oraz M.2 (model dysku i napędu optycznego)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Możliwość z poziomu Bios: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wyłączenia/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włącznia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portów USB zarówno z przodu jak i z tyłu obudowy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wyłączenia selektywnego (pojedynczego) portów SATA,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wyłączenia karty sieciowej, karty audio, portu szeregowego,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możliwość ustawienia portów USB w jednym z dwóch trybów: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użytkownik może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kopiowac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dane z urządzenia pamięci masowej podłączonego do pamięci USB na komputer ale nie może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kopiowac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danych z komputera na urządzenia pamięci masowej podłączone do portu USB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użytkownik nie może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kopiowac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danych z urządzenia pamięci masowej podłączonego do portu USB na komputer oraz nie może kopiować danych z komputera na urządzenia pamięci masowej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ustawienia hasła: administratora, Power-On, HDD,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blokady aktualizacji BIOS bez podania hasła administratora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wglądu w system zbierania logów (min. Informacja o update Bios, błędzie wentylatora na procesorze, wyczyszczeniu logów)  z możliwością czyszczenia logów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alertowania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zmiany konfiguracji sprzętowej komputera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- załadowania optymalnych ustawień Bios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- obsługa Bios za pomocą klawiatury i myszy 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Zintegrowany System Diagnostyczny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Wizualny system diagnostyczny producenta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dzialający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nawet w przypadku uszkodzenia dysku twardego z systemem operacyjnym komputera umożliwiający na wykonanie diagnostyki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następujacych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podzespołów: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wykonanie testu pamięci RAM 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en-GB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test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dysku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en-GB"/>
              </w:rPr>
              <w:t>twardego</w:t>
            </w:r>
            <w:proofErr w:type="spellEnd"/>
          </w:p>
          <w:p w:rsidR="003959C8" w:rsidRPr="00293224" w:rsidRDefault="003959C8" w:rsidP="003959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test monitora 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test magistrali PCI-e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test portów USB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test płyty głównej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Wizualna lub dźwiękowa sygnalizacja w przypadku błędów któregokolwiek z powyższych podzespołów komputera.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Ponadto system powinien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umozliwiać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identyfikacje testowanej jednostki i jej komponentów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następujacym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zakresie: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PC: Producent, model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BIOS: Wersja oraz data wydania Bios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Procesor : Nazwa, taktowanie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Pamięć RAM : Ilość zainstalowanej pamięci RAM, producent oraz numer seryjny poszczególnych kości pamięci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Dysk twardy:  model, numer seryjny, wersja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firmware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, pojemność, temperatura pracy</w:t>
            </w:r>
          </w:p>
          <w:p w:rsidR="003959C8" w:rsidRPr="00293224" w:rsidRDefault="003959C8" w:rsidP="003959C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Monitor: producent, model, rozdzielczość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System Diagnostyczny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>dzialający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</w:rPr>
              <w:t xml:space="preserve"> nawet w przypadku uszkodzenia dysku twardego z systemem operacyjnym komputera.</w:t>
            </w:r>
          </w:p>
        </w:tc>
      </w:tr>
      <w:tr w:rsidR="003959C8" w:rsidRPr="00293224" w:rsidTr="004B11CF">
        <w:trPr>
          <w:trHeight w:val="160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Certyfikat ISO9001:2000 dla producenta sprzętu (należy załączyć do oferty)</w:t>
            </w:r>
          </w:p>
          <w:p w:rsidR="003959C8" w:rsidRPr="00293224" w:rsidRDefault="003959C8" w:rsidP="003959C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ENERGY STAR</w:t>
            </w:r>
          </w:p>
          <w:p w:rsidR="003959C8" w:rsidRPr="00293224" w:rsidRDefault="003959C8" w:rsidP="003959C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Deklaracja zgodności CE (załączyć do oferty)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-     Głośność jednostki mierzona z pozycji operatora w trybie IDLE nie większa niż 22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dB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– dołączyć certyfikat akredytowanej jednostki potwierdzający głośność jednostki</w:t>
            </w:r>
          </w:p>
          <w:p w:rsidR="003959C8" w:rsidRPr="00293224" w:rsidRDefault="003959C8" w:rsidP="003959C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Potwierdzenie spełnienia kryteriów środowiskowych, w tym zgodności z dyrektywą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RoHS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Unii Europejskiej o eliminacji substancji niebezpiecznych w postaci oświadczenia producenta jednostki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Waga/rozmiary urządzenia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color w:val="FF0000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Waga urządzenia poniżej 5 kg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Wysokość nie może być większa niż 32cm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Szerokość nie może być większa niż 11cm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Bezpieczeństwo i zdalne zarządzanie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Złącze typu </w:t>
            </w:r>
            <w:proofErr w:type="spellStart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Kensington</w:t>
            </w:r>
            <w:proofErr w:type="spellEnd"/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Lock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Gwarancja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C29D9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C29D9">
              <w:rPr>
                <w:rFonts w:asciiTheme="majorHAnsi" w:hAnsiTheme="majorHAnsi" w:cstheme="majorHAnsi"/>
                <w:bCs/>
                <w:sz w:val="18"/>
                <w:szCs w:val="18"/>
              </w:rPr>
              <w:t>3 lata świadczona w miejscu użytkowania sprzętu (on-</w:t>
            </w:r>
            <w:proofErr w:type="spellStart"/>
            <w:r w:rsidRPr="002C29D9">
              <w:rPr>
                <w:rFonts w:asciiTheme="majorHAnsi" w:hAnsiTheme="majorHAnsi" w:cstheme="majorHAnsi"/>
                <w:bCs/>
                <w:sz w:val="18"/>
                <w:szCs w:val="18"/>
              </w:rPr>
              <w:t>site</w:t>
            </w:r>
            <w:proofErr w:type="spellEnd"/>
            <w:r w:rsidRPr="002C29D9">
              <w:rPr>
                <w:rFonts w:asciiTheme="majorHAnsi" w:hAnsiTheme="majorHAnsi" w:cstheme="majorHAnsi"/>
                <w:bCs/>
                <w:sz w:val="18"/>
                <w:szCs w:val="18"/>
              </w:rPr>
              <w:t>)</w:t>
            </w:r>
          </w:p>
          <w:p w:rsidR="003959C8" w:rsidRPr="00F054F8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trike/>
                <w:color w:val="FF0000"/>
                <w:sz w:val="18"/>
                <w:szCs w:val="18"/>
              </w:rPr>
            </w:pPr>
            <w:r w:rsidRPr="00F054F8">
              <w:rPr>
                <w:rFonts w:asciiTheme="majorHAnsi" w:hAnsiTheme="majorHAnsi" w:cstheme="majorHAnsi"/>
                <w:bCs/>
                <w:strike/>
                <w:sz w:val="18"/>
                <w:szCs w:val="18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Wsparcie techniczne producenta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Dedykowany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numer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oraz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adres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email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dla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wsparcia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technicznego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informacji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produktowej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.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możliwość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weryfikacji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u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konfiguracji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fabrycznej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zakupionego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sprzętu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</w:p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-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Naprawy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gwarancyjne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urządzeń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muszą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być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realizowany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lub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Autoryzowanego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Partnera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Serwisowego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Producenta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.</w:t>
            </w:r>
          </w:p>
        </w:tc>
      </w:tr>
      <w:tr w:rsidR="003959C8" w:rsidRPr="00293224" w:rsidTr="004B11CF">
        <w:trPr>
          <w:trHeight w:val="28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3959C8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tabs>
                <w:tab w:val="left" w:pos="213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93224">
              <w:rPr>
                <w:rFonts w:asciiTheme="majorHAnsi" w:hAnsiTheme="majorHAnsi" w:cstheme="majorHAnsi"/>
                <w:bCs/>
                <w:sz w:val="18"/>
                <w:szCs w:val="18"/>
              </w:rPr>
              <w:t>Wymagania dodatkowe</w:t>
            </w:r>
          </w:p>
        </w:tc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9C8" w:rsidRPr="00293224" w:rsidRDefault="003959C8" w:rsidP="004B11CF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  <w:lang w:val="de-DE"/>
              </w:rPr>
            </w:pP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Zamawiający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zastrzega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sobie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prawo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sprawdzenia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pełnej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zgodności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parametrów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oferowanego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sprzętu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wymogami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niniejszej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SIWZ.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tym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celu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Wykonawcy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wezwanie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Zamawiającego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dostarczą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siedziby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Zamawiającego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terminie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5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dni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od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daty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otrzymania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wezwania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próbkę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oferowanego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sprzętu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.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odniesieniu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do 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programowania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mogą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zostać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dostarczone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licencje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tymczasowe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,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pełni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zgodne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oferowanymi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Ocena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złożonych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próbek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zostanie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dokonana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Komisję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Przetargową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zasadzie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spełnia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/ nie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spełnia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badania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każdej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zostanie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sporządzony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protokół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Pozytywna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ocena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będzie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oznaczała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zgodność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)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treścią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SIWZ.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Niezgodność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 SIWZ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chociażby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zakresie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jednego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parametru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podlegającemu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badaniu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bądź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nieprzedłożenie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wymaganej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sposób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terminie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wymaganym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przez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Zamawiającego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będzie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oznaczało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negatywny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wynik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oceny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próbki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będzie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skutkowało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odrzuceniem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podstawie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art. 89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ust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1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pkt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2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ustawy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29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stycznia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2004 r.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Prawo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zamówień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publicznych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(Dz. U. z 201</w:t>
            </w:r>
            <w:r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9 r.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poz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986 </w:t>
            </w:r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.),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tj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uwagi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na fakt,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że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treść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oferty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nie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odpowiada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treści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specyfikacji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istotnych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warunków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zamówienia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Szczegółowy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sposób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przygotowania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złożenia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próbek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zostanie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dostarczony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wykonawcom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wraz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z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wezwaniem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złożenia</w:t>
            </w:r>
            <w:proofErr w:type="spellEnd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93224">
              <w:rPr>
                <w:rFonts w:asciiTheme="majorHAnsi" w:hAnsiTheme="majorHAnsi" w:cstheme="majorHAnsi"/>
                <w:sz w:val="18"/>
                <w:szCs w:val="18"/>
                <w:lang w:val="de-DE"/>
              </w:rPr>
              <w:t>próbek</w:t>
            </w:r>
            <w:proofErr w:type="spellEnd"/>
          </w:p>
        </w:tc>
      </w:tr>
    </w:tbl>
    <w:p w:rsidR="00055DC2" w:rsidRDefault="00055DC2">
      <w:bookmarkStart w:id="91" w:name="_GoBack"/>
      <w:bookmarkEnd w:id="91"/>
    </w:p>
    <w:sectPr w:rsidR="00055DC2" w:rsidSect="003959C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EFECE1C6"/>
    <w:name w:val="WW8Num13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6B4867"/>
    <w:multiLevelType w:val="multilevel"/>
    <w:tmpl w:val="B87862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D81357"/>
    <w:multiLevelType w:val="multilevel"/>
    <w:tmpl w:val="46965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7E0"/>
    <w:multiLevelType w:val="multilevel"/>
    <w:tmpl w:val="9A2879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83E79"/>
    <w:multiLevelType w:val="multilevel"/>
    <w:tmpl w:val="AEA2F572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AE688A"/>
    <w:multiLevelType w:val="multilevel"/>
    <w:tmpl w:val="9C96BE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047D6C"/>
    <w:multiLevelType w:val="multilevel"/>
    <w:tmpl w:val="DBE81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25AEC"/>
    <w:multiLevelType w:val="multilevel"/>
    <w:tmpl w:val="A8229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1B3C64"/>
    <w:multiLevelType w:val="multilevel"/>
    <w:tmpl w:val="0BBA28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D6CA0"/>
    <w:multiLevelType w:val="multilevel"/>
    <w:tmpl w:val="09F09B48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0023A"/>
    <w:multiLevelType w:val="multilevel"/>
    <w:tmpl w:val="4ED0E04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C8"/>
    <w:rsid w:val="00055DC2"/>
    <w:rsid w:val="000B3D59"/>
    <w:rsid w:val="0034615B"/>
    <w:rsid w:val="003959C8"/>
    <w:rsid w:val="00434532"/>
    <w:rsid w:val="00714423"/>
    <w:rsid w:val="008906F5"/>
    <w:rsid w:val="00E62C95"/>
    <w:rsid w:val="00F0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CE06"/>
  <w15:chartTrackingRefBased/>
  <w15:docId w15:val="{EBA526E6-AEDC-4A82-959F-69A71F48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9C8"/>
  </w:style>
  <w:style w:type="paragraph" w:styleId="Nagwek1">
    <w:name w:val="heading 1"/>
    <w:basedOn w:val="Normalny"/>
    <w:next w:val="Normalny"/>
    <w:link w:val="Nagwek1Znak"/>
    <w:uiPriority w:val="9"/>
    <w:qFormat/>
    <w:rsid w:val="003959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959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9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9C8"/>
  </w:style>
  <w:style w:type="paragraph" w:styleId="Stopka">
    <w:name w:val="footer"/>
    <w:basedOn w:val="Normalny"/>
    <w:link w:val="StopkaZnak"/>
    <w:uiPriority w:val="99"/>
    <w:unhideWhenUsed/>
    <w:rsid w:val="0039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9C8"/>
  </w:style>
  <w:style w:type="paragraph" w:styleId="Akapitzlist">
    <w:name w:val="List Paragraph"/>
    <w:basedOn w:val="Normalny"/>
    <w:uiPriority w:val="34"/>
    <w:qFormat/>
    <w:rsid w:val="003959C8"/>
    <w:pPr>
      <w:ind w:left="720"/>
      <w:contextualSpacing/>
    </w:pPr>
  </w:style>
  <w:style w:type="paragraph" w:customStyle="1" w:styleId="Default">
    <w:name w:val="Default"/>
    <w:rsid w:val="003959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9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9C8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959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959C8"/>
    <w:pPr>
      <w:tabs>
        <w:tab w:val="left" w:pos="660"/>
        <w:tab w:val="right" w:leader="dot" w:pos="9346"/>
      </w:tabs>
      <w:spacing w:after="100"/>
      <w:ind w:left="709" w:hanging="489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959C8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959C8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959C8"/>
    <w:rPr>
      <w:color w:val="0563C1" w:themeColor="hyperlink"/>
      <w:u w:val="single"/>
    </w:rPr>
  </w:style>
  <w:style w:type="paragraph" w:customStyle="1" w:styleId="Tabelapozycja">
    <w:name w:val="Tabela pozycja"/>
    <w:basedOn w:val="Normalny"/>
    <w:qFormat/>
    <w:rsid w:val="003959C8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5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24</Pages>
  <Words>6618</Words>
  <Characters>39708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2019-04-30T14:26:00Z</dcterms:created>
  <dcterms:modified xsi:type="dcterms:W3CDTF">2019-04-30T14:38:00Z</dcterms:modified>
</cp:coreProperties>
</file>