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Aleksandrów Kujawski dnia </w:t>
      </w:r>
      <w:r w:rsidR="009B456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D82E9F" w:rsidRPr="00890E71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</w:t>
      </w:r>
      <w:r w:rsidR="00B62B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90E71">
        <w:rPr>
          <w:rFonts w:ascii="Times New Roman" w:hAnsi="Times New Roman" w:cs="Times New Roman"/>
          <w:color w:val="000000"/>
          <w:sz w:val="24"/>
          <w:szCs w:val="24"/>
        </w:rPr>
        <w:t>.2019.MR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sekretariat@gmina-aleksandrowkujawski.pl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D82E9F" w:rsidRPr="00890E71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656F94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656F94" w:rsidRPr="00656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yposażenie </w:t>
      </w:r>
      <w:r w:rsidR="00FA2182">
        <w:rPr>
          <w:rFonts w:ascii="Times New Roman" w:hAnsi="Times New Roman" w:cs="Times New Roman"/>
          <w:b/>
          <w:color w:val="000000"/>
          <w:sz w:val="24"/>
          <w:szCs w:val="24"/>
        </w:rPr>
        <w:t>sanitarne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projektu pn. „Zapewnienie opieki dla dzieci w wieku do lat 3 w żłobku Bursztynek w Gminie Aleksandrów Kujawski”.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6C1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Ofertę należy umieścić w zabezpieczonej kopercie i opisać nazwą i adresem wykonawcy oraz nazwą i adresem zamawiającego oraz opisać: „Dostawa </w:t>
      </w:r>
      <w:r w:rsidR="00FA2182">
        <w:rPr>
          <w:rFonts w:ascii="Times New Roman" w:hAnsi="Times New Roman" w:cs="Times New Roman"/>
          <w:color w:val="000000"/>
          <w:sz w:val="24"/>
          <w:szCs w:val="24"/>
        </w:rPr>
        <w:t xml:space="preserve">– wyposażenie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>sanitarne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być przesłana za pośrednictwem skrzynki elektronicznej (z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3336E5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Rolirad</w:t>
      </w:r>
      <w:proofErr w:type="spellEnd"/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D82E9F" w:rsidRPr="00A1364E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Ocena ofert zostanie dokonana w dniu 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-2019r , a następnie zostaną ogłoszone wyniki i wybór najkorzystniejszej oferty.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Wykaz oferowan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>ego wyposażenia sanitarnego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520" w:rsidRDefault="00D82E9F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 xml:space="preserve">Przedmiot zamówienia jest określony we Wspólnym Słowniku Zamówień jako kod CPV: </w:t>
      </w:r>
    </w:p>
    <w:p w:rsidR="00D82E9F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39512000-4</w:t>
      </w:r>
    </w:p>
    <w:p w:rsidR="005A1CAA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39221130-7</w:t>
      </w:r>
    </w:p>
    <w:p w:rsidR="005A1CAA" w:rsidRPr="009A66A2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39700000</w:t>
      </w:r>
      <w:r w:rsidR="002836AB">
        <w:rPr>
          <w:rFonts w:ascii="Times New Roman" w:hAnsi="Times New Roman" w:cs="Times New Roman"/>
          <w:color w:val="000000"/>
          <w:sz w:val="24"/>
          <w:szCs w:val="24"/>
        </w:rPr>
        <w:t>-9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jc w:val="both"/>
      </w:pPr>
      <w:r w:rsidRPr="009A66A2">
        <w:t xml:space="preserve">Wykaz </w:t>
      </w:r>
      <w:bookmarkStart w:id="0" w:name="_GoBack"/>
      <w:r w:rsidR="00DD3779" w:rsidRPr="009A66A2">
        <w:t>ofero</w:t>
      </w:r>
      <w:bookmarkEnd w:id="0"/>
      <w:r w:rsidR="00DD3779" w:rsidRPr="009A66A2">
        <w:t>wane</w:t>
      </w:r>
      <w:r w:rsidR="00DD3779">
        <w:t xml:space="preserve">go sprzętu sanitarnego </w:t>
      </w:r>
      <w:r w:rsidRPr="009A66A2">
        <w:t xml:space="preserve">ze wskazaniem cen brutto poszczególnych elementów wchodzących w skład przedmiotu zamówienia. </w:t>
      </w:r>
      <w:r>
        <w:t>– zał. Nr 4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 Opis przygotowania oferty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jc w:val="both"/>
      </w:pPr>
      <w:r w:rsidRPr="009A66A2">
        <w:lastRenderedPageBreak/>
        <w:t xml:space="preserve">Oferta powinna być: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opatrzona pieczątką firmową,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posiadać datę sporządzenia,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podpisana czytelnie przez wykonawcę (uprawnionego). </w:t>
      </w:r>
    </w:p>
    <w:p w:rsidR="00D82E9F" w:rsidRDefault="00D82E9F" w:rsidP="00D82E9F">
      <w:pPr>
        <w:pStyle w:val="Default"/>
        <w:jc w:val="both"/>
        <w:rPr>
          <w:b/>
          <w:bCs/>
        </w:rPr>
      </w:pPr>
    </w:p>
    <w:p w:rsidR="00D82E9F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ind w:firstLine="708"/>
        <w:jc w:val="both"/>
      </w:pPr>
      <w:r w:rsidRPr="009A66A2">
        <w:t xml:space="preserve"> </w:t>
      </w:r>
      <w:r>
        <w:tab/>
      </w:r>
      <w:r>
        <w:tab/>
      </w:r>
      <w:r w:rsidRPr="009A66A2">
        <w:t xml:space="preserve">oferty najniższej </w:t>
      </w:r>
    </w:p>
    <w:p w:rsidR="00D82E9F" w:rsidRPr="009A66A2" w:rsidRDefault="00D82E9F" w:rsidP="00D82E9F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D82E9F" w:rsidRPr="009A66A2" w:rsidRDefault="00D82E9F" w:rsidP="00D82E9F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D82E9F" w:rsidRDefault="00D82E9F" w:rsidP="00D82E9F">
      <w:pPr>
        <w:pStyle w:val="Default"/>
        <w:spacing w:after="21"/>
        <w:jc w:val="both"/>
      </w:pP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Każdy Wykonawca może zaproponować tylko jedną cenę.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Koszt złożenia oferty ponosi Wykonawca. </w:t>
      </w:r>
    </w:p>
    <w:p w:rsidR="00D82E9F" w:rsidRDefault="00D82E9F" w:rsidP="00D82E9F">
      <w:pPr>
        <w:pStyle w:val="Default"/>
        <w:ind w:left="720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oświadczenia podwykonawców i Wykonawcy o całkowitym rozliczeniu finansowym z podwykonawcami/wykonawcą w ramach przedmiotowej inwestycji.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Kary umowne: </w:t>
      </w:r>
    </w:p>
    <w:p w:rsidR="00D82E9F" w:rsidRDefault="00D82E9F" w:rsidP="00D82E9F">
      <w:pPr>
        <w:pStyle w:val="Default"/>
        <w:ind w:hanging="11"/>
        <w:jc w:val="both"/>
      </w:pPr>
      <w:r>
        <w:lastRenderedPageBreak/>
        <w:t xml:space="preserve">Wykonawca zapłaci Zamawiającemu kary umowne: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realizacji przedmiotu umowy w wysokości 0,5% wynagrodzenia umownego brutto za każdy dzień opóźnienia,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usunięciu wad stwierdzonych przy odbiorze,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Nie zostanie złożona żadna oferta.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Cena złożonej oferty przewyższy kwotę, którą zamawiający może przeznaczyć na sfinansowanie zadania.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również prawo do: </w:t>
      </w:r>
    </w:p>
    <w:p w:rsidR="00D82E9F" w:rsidRDefault="00D82E9F" w:rsidP="00D82E9F">
      <w:pPr>
        <w:pStyle w:val="Default"/>
        <w:numPr>
          <w:ilvl w:val="0"/>
          <w:numId w:val="11"/>
        </w:numPr>
        <w:jc w:val="both"/>
      </w:pPr>
      <w:r>
        <w:t xml:space="preserve">Przeprowadzenia negocjacji z Wykonawcą, który złożył najkorzystniejszą ofertę. </w:t>
      </w:r>
    </w:p>
    <w:p w:rsidR="00D82E9F" w:rsidRDefault="00D82E9F" w:rsidP="00D82E9F">
      <w:pPr>
        <w:pStyle w:val="Default"/>
        <w:jc w:val="both"/>
      </w:pPr>
    </w:p>
    <w:p w:rsidR="00D82E9F" w:rsidRDefault="00D82E9F" w:rsidP="00D82E9F">
      <w:pPr>
        <w:pStyle w:val="Default"/>
        <w:jc w:val="both"/>
      </w:pPr>
      <w:r>
        <w:t>Załączniki: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Wykaz </w:t>
      </w:r>
      <w:r w:rsidR="00E946CE" w:rsidRPr="00E946CE">
        <w:rPr>
          <w:color w:val="auto"/>
        </w:rPr>
        <w:t xml:space="preserve">oferowanego sprzętu sanitarnego </w:t>
      </w:r>
      <w:r w:rsidRPr="00890E71">
        <w:rPr>
          <w:color w:val="auto"/>
        </w:rPr>
        <w:t>ze wskazaniem cen brutto poszczególnych elementów wchodzących w skład przedmiotu zamówienia załącznik nr 4.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>
        <w:rPr>
          <w:color w:val="auto"/>
        </w:rPr>
        <w:t xml:space="preserve">s zamówienia  - </w:t>
      </w:r>
      <w:r w:rsidRPr="00890E71">
        <w:rPr>
          <w:color w:val="auto"/>
        </w:rPr>
        <w:t>załącznik Nr 5</w:t>
      </w:r>
    </w:p>
    <w:p w:rsidR="00B95051" w:rsidRDefault="00B95051"/>
    <w:sectPr w:rsidR="00B9505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8C" w:rsidRDefault="00E946CE">
      <w:pPr>
        <w:spacing w:after="0" w:line="240" w:lineRule="auto"/>
      </w:pPr>
      <w:r>
        <w:separator/>
      </w:r>
    </w:p>
  </w:endnote>
  <w:endnote w:type="continuationSeparator" w:id="0">
    <w:p w:rsidR="0070448C" w:rsidRDefault="00E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B62BA1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B62BA1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2836AB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8C" w:rsidRDefault="00E946CE">
      <w:pPr>
        <w:spacing w:after="0" w:line="240" w:lineRule="auto"/>
      </w:pPr>
      <w:r>
        <w:separator/>
      </w:r>
    </w:p>
  </w:footnote>
  <w:footnote w:type="continuationSeparator" w:id="0">
    <w:p w:rsidR="0070448C" w:rsidRDefault="00E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B62B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4260AF" wp14:editId="3783F19E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3" name="Obraz 3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F"/>
    <w:rsid w:val="00157B7D"/>
    <w:rsid w:val="00196B1D"/>
    <w:rsid w:val="002836AB"/>
    <w:rsid w:val="003336E5"/>
    <w:rsid w:val="00453BB3"/>
    <w:rsid w:val="005A1CAA"/>
    <w:rsid w:val="00656F94"/>
    <w:rsid w:val="00664CFA"/>
    <w:rsid w:val="00664FE6"/>
    <w:rsid w:val="0070448C"/>
    <w:rsid w:val="007126C1"/>
    <w:rsid w:val="00895497"/>
    <w:rsid w:val="009B456D"/>
    <w:rsid w:val="00A34033"/>
    <w:rsid w:val="00B62BA1"/>
    <w:rsid w:val="00B95051"/>
    <w:rsid w:val="00D82E9F"/>
    <w:rsid w:val="00DB6C65"/>
    <w:rsid w:val="00DD3779"/>
    <w:rsid w:val="00E14520"/>
    <w:rsid w:val="00E84D06"/>
    <w:rsid w:val="00E946CE"/>
    <w:rsid w:val="00F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4569D"/>
  <w15:chartTrackingRefBased/>
  <w15:docId w15:val="{0BC1C1E2-E0FA-4217-B04E-924F93D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9F"/>
  </w:style>
  <w:style w:type="paragraph" w:styleId="Stopka">
    <w:name w:val="footer"/>
    <w:basedOn w:val="Normalny"/>
    <w:link w:val="Stopka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9F"/>
  </w:style>
  <w:style w:type="paragraph" w:customStyle="1" w:styleId="Default">
    <w:name w:val="Default"/>
    <w:rsid w:val="00D82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2</cp:revision>
  <dcterms:created xsi:type="dcterms:W3CDTF">2019-01-28T09:42:00Z</dcterms:created>
  <dcterms:modified xsi:type="dcterms:W3CDTF">2019-01-28T09:42:00Z</dcterms:modified>
</cp:coreProperties>
</file>